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84714">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自贡市红十字会</w:t>
      </w:r>
    </w:p>
    <w:p w14:paraId="00885AF9">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度部门决算编制的说明</w:t>
      </w:r>
    </w:p>
    <w:p w14:paraId="495D32CD">
      <w:pPr>
        <w:widowControl/>
        <w:jc w:val="center"/>
        <w:rPr>
          <w:rFonts w:hint="eastAsia" w:ascii="黑体" w:hAnsi="黑体" w:eastAsia="黑体"/>
          <w:color w:val="000000"/>
          <w:sz w:val="44"/>
          <w:szCs w:val="44"/>
        </w:rPr>
      </w:pPr>
    </w:p>
    <w:p w14:paraId="49C091D2">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14:paraId="48494981">
      <w:pPr>
        <w:pStyle w:val="10"/>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 xml:space="preserve"> 23 </w:t>
      </w:r>
      <w:r>
        <w:rPr>
          <w:rFonts w:hint="eastAsia" w:ascii="仿宋_GB2312" w:eastAsia="仿宋_GB2312"/>
          <w:i w:val="0"/>
          <w:color w:val="auto"/>
          <w:sz w:val="32"/>
        </w:rPr>
        <w:t>日</w:t>
      </w:r>
    </w:p>
    <w:p w14:paraId="329F1511">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_Toc8227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第一部分 部门概况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_Toc8227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AF75022">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_Toc28837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w:t>
      </w:r>
      <w:r>
        <w:rPr>
          <w:rFonts w:hint="eastAsia" w:ascii="仿宋_GB2312" w:hAnsi="仿宋_GB2312" w:eastAsia="仿宋_GB2312" w:cs="仿宋_GB2312"/>
          <w:b w:val="0"/>
          <w:bCs w:val="0"/>
          <w:i w:val="0"/>
          <w:iCs w:val="0"/>
          <w:sz w:val="32"/>
          <w:szCs w:val="32"/>
          <w:highlight w:val="none"/>
          <w:lang w:eastAsia="zh-CN"/>
        </w:rPr>
        <w:t>部门职责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_Toc28837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B1180F8">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_Toc17184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p>
    <w:p w14:paraId="763C5662">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_Toc1303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2023年</w:t>
      </w:r>
      <w:r>
        <w:rPr>
          <w:rFonts w:hint="eastAsia" w:ascii="仿宋_GB2312" w:hAnsi="仿宋_GB2312" w:eastAsia="仿宋_GB2312" w:cs="仿宋_GB2312"/>
          <w:b w:val="0"/>
          <w:bCs w:val="0"/>
          <w:i w:val="0"/>
          <w:iCs w:val="0"/>
          <w:sz w:val="32"/>
          <w:szCs w:val="32"/>
        </w:rPr>
        <w:t>度部门决算情况说明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_Toc1303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171E7CF">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_Toc17065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_Toc17065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1388819">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_Toc12413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_Toc12413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B121930">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_Toc8342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_Toc8342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0E9879E5">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_Toc23551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_Toc23551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088244C">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_Toc7507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E49D062">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_Toc31388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_Toc31388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18E86044">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_Toc19233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_Toc19233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4817367">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_Toc31714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_Toc31714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ED64DAB">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_Toc12385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_Toc12385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3B15234">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_Toc30095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_Toc30095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9</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B5404B6">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_Toc6447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_Toc6447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12</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274249D">
      <w:pPr>
        <w:pStyle w:val="10"/>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_Toc17220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_Toc17220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14</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83659B7">
      <w:pPr>
        <w:pStyle w:val="10"/>
        <w:tabs>
          <w:tab w:val="right" w:leader="dot" w:pos="8306"/>
        </w:tabs>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_Toc31444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3</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3</w:t>
      </w:r>
    </w:p>
    <w:p w14:paraId="30F0A122">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_Toc5286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_Toc5286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33464B8">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_Toc8158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_Toc8158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78E940C">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_Toc26012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_Toc26012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C9F1850">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_Toc18909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653726FD">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_Toc31130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F6E88AF">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_Toc7698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3F325DC">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_Toc31249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_Toc31249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DC2EB24">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_Toc7317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_Toc7317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2AE6055">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_Toc6515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_Toc6515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375A986A">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_Toc7620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FC4C96C">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_Toc26497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_Toc26497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8EDBABE">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_Toc28654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_Toc28654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7F88618">
      <w:pPr>
        <w:pStyle w:val="11"/>
        <w:tabs>
          <w:tab w:val="right" w:leader="dot" w:pos="8306"/>
        </w:tabs>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_Toc10409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_Toc10409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33</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29602997">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 w:val="0"/>
          <w:bCs w:val="0"/>
          <w:i w:val="0"/>
          <w:iCs w:val="0"/>
          <w:caps/>
          <w:sz w:val="32"/>
          <w:szCs w:val="32"/>
        </w:rPr>
        <w:fldChar w:fldCharType="end"/>
      </w:r>
    </w:p>
    <w:p w14:paraId="5F8ECA56">
      <w:pPr>
        <w:pStyle w:val="5"/>
        <w:jc w:val="center"/>
        <w:rPr>
          <w:rFonts w:hint="eastAsia" w:ascii="黑体" w:hAnsi="黑体" w:eastAsia="黑体"/>
          <w:b w:val="0"/>
        </w:rPr>
        <w:sectPr>
          <w:footerReference r:id="rId3" w:type="default"/>
          <w:pgSz w:w="11906" w:h="16838"/>
          <w:pgMar w:top="1440" w:right="1800" w:bottom="1440" w:left="1800" w:header="851" w:footer="992" w:gutter="0"/>
          <w:pgNumType w:fmt="decimal"/>
          <w:cols w:space="425" w:num="1"/>
          <w:docGrid w:type="lines" w:linePitch="312" w:charSpace="0"/>
        </w:sectPr>
      </w:pPr>
    </w:p>
    <w:p w14:paraId="7BD8F7CC">
      <w:pPr>
        <w:pStyle w:val="5"/>
        <w:jc w:val="center"/>
        <w:rPr>
          <w:rStyle w:val="17"/>
          <w:rFonts w:ascii="黑体" w:hAnsi="黑体" w:eastAsia="黑体"/>
          <w:b/>
          <w:bCs w:val="0"/>
        </w:rPr>
      </w:pPr>
      <w:bookmarkStart w:id="0" w:name="_Toc8227"/>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0"/>
    </w:p>
    <w:p w14:paraId="64A61D22">
      <w:pPr>
        <w:pStyle w:val="6"/>
        <w:pageBreakBefore w:val="0"/>
        <w:kinsoku/>
        <w:wordWrap/>
        <w:overflowPunct/>
        <w:topLinePunct w:val="0"/>
        <w:autoSpaceDE/>
        <w:autoSpaceDN/>
        <w:bidi w:val="0"/>
        <w:adjustRightInd/>
        <w:snapToGrid/>
        <w:spacing w:line="560" w:lineRule="exact"/>
        <w:ind w:firstLine="640" w:firstLineChars="200"/>
        <w:jc w:val="left"/>
        <w:textAlignment w:val="auto"/>
        <w:rPr>
          <w:rStyle w:val="18"/>
          <w:rFonts w:ascii="仿宋" w:hAnsi="仿宋" w:eastAsia="仿宋"/>
          <w:b w:val="0"/>
          <w:bCs w:val="0"/>
        </w:rPr>
      </w:pPr>
      <w:bookmarkStart w:id="1" w:name="_Toc15377197"/>
      <w:bookmarkStart w:id="2" w:name="_Toc15396600"/>
      <w:bookmarkStart w:id="3" w:name="_Toc28837"/>
      <w:r>
        <w:rPr>
          <w:rFonts w:hint="eastAsia" w:ascii="黑体" w:hAnsi="黑体" w:eastAsia="黑体"/>
          <w:b w:val="0"/>
          <w:color w:val="000000"/>
        </w:rPr>
        <w:t>一、</w:t>
      </w:r>
      <w:bookmarkEnd w:id="1"/>
      <w:bookmarkEnd w:id="2"/>
      <w:r>
        <w:rPr>
          <w:rFonts w:hint="eastAsia" w:ascii="黑体" w:hAnsi="黑体" w:eastAsia="黑体"/>
          <w:b w:val="0"/>
          <w:color w:val="auto"/>
          <w:highlight w:val="none"/>
          <w:lang w:eastAsia="zh-CN"/>
        </w:rPr>
        <w:t>部门职责</w:t>
      </w:r>
      <w:bookmarkEnd w:id="3"/>
    </w:p>
    <w:p w14:paraId="18A829C8">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bookmarkStart w:id="4" w:name="_Toc15377200"/>
      <w:bookmarkStart w:id="5" w:name="_Toc15396601"/>
      <w:bookmarkStart w:id="6" w:name="_Toc17184"/>
      <w:r>
        <w:rPr>
          <w:rFonts w:hint="eastAsia" w:ascii="Times New Roman" w:hAnsi="Times New Roman" w:eastAsia="仿宋_GB2312" w:cs="Times New Roman"/>
          <w:b w:val="0"/>
          <w:bCs w:val="0"/>
          <w:kern w:val="2"/>
          <w:sz w:val="32"/>
          <w:szCs w:val="24"/>
          <w:lang w:val="en-US" w:eastAsia="zh-CN" w:bidi="ar-SA"/>
        </w:rPr>
        <w:t>1.依法开展救援救灾，建立红十字应急救援体系，在自然灾害、事故灾难、公共卫生等突发事件中，进行紧急援助和人道救助。</w:t>
      </w:r>
    </w:p>
    <w:p w14:paraId="3F286A7F">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2.开展应急救护培训工作，普及应急救护、防灾避险和卫生健康知识。</w:t>
      </w:r>
    </w:p>
    <w:p w14:paraId="0E242EF8">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3.开展人道救助工作，对易受损人群进行救助，为困难群众提供帮助。</w:t>
      </w:r>
    </w:p>
    <w:p w14:paraId="3E4060F9">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4.依法参与和推动无偿献血，遗体和人体器官（组织）捐献，造血干细胞捐献的宣传动员等相关工作。</w:t>
      </w:r>
    </w:p>
    <w:p w14:paraId="1AA53EE7">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24"/>
          <w:lang w:val="en-US" w:eastAsia="zh-CN" w:bidi="ar-SA"/>
        </w:rPr>
      </w:pPr>
      <w:r>
        <w:rPr>
          <w:rFonts w:hint="eastAsia" w:ascii="Times New Roman" w:hAnsi="Times New Roman" w:eastAsia="仿宋_GB2312" w:cs="Times New Roman"/>
          <w:b w:val="0"/>
          <w:bCs w:val="0"/>
          <w:kern w:val="2"/>
          <w:sz w:val="32"/>
          <w:szCs w:val="24"/>
          <w:lang w:val="en-US" w:eastAsia="zh-CN" w:bidi="ar-SA"/>
        </w:rPr>
        <w:t>5.组织开展红十字志愿服务、红十字青少年工作。</w:t>
      </w:r>
    </w:p>
    <w:p w14:paraId="0A07B06C">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b w:val="0"/>
          <w:bCs w:val="0"/>
          <w:kern w:val="2"/>
          <w:sz w:val="32"/>
          <w:szCs w:val="24"/>
          <w:lang w:val="en-US" w:eastAsia="zh-CN" w:bidi="ar-SA"/>
        </w:rPr>
      </w:pPr>
      <w:r>
        <w:rPr>
          <w:rFonts w:hint="eastAsia" w:ascii="Times New Roman" w:hAnsi="Times New Roman" w:cs="Times New Roman"/>
          <w:b w:val="0"/>
          <w:bCs w:val="0"/>
          <w:kern w:val="2"/>
          <w:sz w:val="32"/>
          <w:szCs w:val="24"/>
          <w:lang w:val="en-US" w:eastAsia="zh-CN" w:bidi="ar-SA"/>
        </w:rPr>
        <w:t>6.完成上级红十字会安排的工作任务。</w:t>
      </w:r>
    </w:p>
    <w:p w14:paraId="3AE99B3F">
      <w:pPr>
        <w:pStyle w:val="6"/>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Times New Roman"/>
          <w:b w:val="0"/>
          <w:bCs w:val="0"/>
          <w:kern w:val="2"/>
          <w:sz w:val="32"/>
          <w:szCs w:val="24"/>
          <w:lang w:val="en-US" w:eastAsia="zh-CN" w:bidi="ar-SA"/>
        </w:rPr>
      </w:pPr>
      <w:r>
        <w:rPr>
          <w:rFonts w:hint="eastAsia" w:ascii="Times New Roman" w:hAnsi="Times New Roman" w:cs="Times New Roman"/>
          <w:b w:val="0"/>
          <w:bCs w:val="0"/>
          <w:kern w:val="2"/>
          <w:sz w:val="32"/>
          <w:szCs w:val="24"/>
          <w:lang w:val="en-US" w:eastAsia="zh-CN" w:bidi="ar-SA"/>
        </w:rPr>
        <w:t>7.完成市委、市政府交办的各项工作任务。</w:t>
      </w:r>
    </w:p>
    <w:p w14:paraId="75630C79">
      <w:pPr>
        <w:pStyle w:val="6"/>
        <w:pageBreakBefore w:val="0"/>
        <w:kinsoku/>
        <w:wordWrap/>
        <w:overflowPunct/>
        <w:topLinePunct w:val="0"/>
        <w:autoSpaceDE/>
        <w:autoSpaceDN/>
        <w:bidi w:val="0"/>
        <w:adjustRightInd/>
        <w:snapToGrid/>
        <w:spacing w:line="560" w:lineRule="exact"/>
        <w:ind w:firstLine="640" w:firstLineChars="200"/>
        <w:jc w:val="left"/>
        <w:textAlignment w:val="auto"/>
        <w:rPr>
          <w:rStyle w:val="18"/>
          <w:b w:val="0"/>
          <w:bCs w:val="0"/>
        </w:rPr>
      </w:pPr>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4"/>
      <w:bookmarkEnd w:id="5"/>
      <w:bookmarkEnd w:id="6"/>
    </w:p>
    <w:p w14:paraId="395815FD">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lang w:val="en-US" w:eastAsia="zh-CN"/>
        </w:rPr>
        <w:t>自贡市红十字会下属二级预算单位1个，其中参照公务员法管理的事业单位1个。</w:t>
      </w:r>
    </w:p>
    <w:p w14:paraId="4362A6F7">
      <w:pPr>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lang w:eastAsia="zh-CN"/>
        </w:rPr>
      </w:pPr>
      <w:r>
        <w:rPr>
          <w:rFonts w:hint="eastAsia"/>
        </w:rPr>
        <w:t>纳入</w:t>
      </w:r>
      <w:r>
        <w:rPr>
          <w:rFonts w:hint="eastAsia"/>
          <w:lang w:eastAsia="zh-CN"/>
        </w:rPr>
        <w:t>自贡市红十字会</w:t>
      </w:r>
      <w:r>
        <w:rPr>
          <w:rFonts w:hint="eastAsia"/>
        </w:rPr>
        <w:t>202</w:t>
      </w:r>
      <w:r>
        <w:rPr>
          <w:rFonts w:hint="eastAsia"/>
          <w:lang w:val="en-US" w:eastAsia="zh-CN"/>
        </w:rPr>
        <w:t>3</w:t>
      </w:r>
      <w:r>
        <w:rPr>
          <w:rFonts w:hint="eastAsia"/>
        </w:rPr>
        <w:t>年度部门决算编制范围的二级预算单位包括：</w:t>
      </w:r>
      <w:r>
        <w:rPr>
          <w:rFonts w:hint="eastAsia"/>
          <w:lang w:eastAsia="zh-CN"/>
        </w:rPr>
        <w:t>自贡市红十字会。</w:t>
      </w:r>
    </w:p>
    <w:p w14:paraId="191D1D87">
      <w:pPr>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b w:val="0"/>
          <w:color w:val="000000"/>
        </w:rPr>
      </w:pPr>
      <w:bookmarkStart w:id="7" w:name="_Toc15377204"/>
      <w:bookmarkStart w:id="8" w:name="_Toc15396602"/>
      <w:bookmarkStart w:id="9" w:name="_Toc1303"/>
    </w:p>
    <w:p w14:paraId="47F1BB19">
      <w:pPr>
        <w:pageBreakBefore w:val="0"/>
        <w:widowControl/>
        <w:kinsoku/>
        <w:wordWrap/>
        <w:overflowPunct/>
        <w:topLinePunct w:val="0"/>
        <w:autoSpaceDE/>
        <w:autoSpaceDN/>
        <w:bidi w:val="0"/>
        <w:adjustRightInd/>
        <w:snapToGrid/>
        <w:spacing w:line="560" w:lineRule="exact"/>
        <w:jc w:val="left"/>
        <w:textAlignment w:val="auto"/>
        <w:rPr>
          <w:rStyle w:val="17"/>
          <w:rFonts w:ascii="黑体" w:hAnsi="黑体" w:eastAsia="黑体"/>
          <w:b w:val="0"/>
          <w:bCs w:val="0"/>
        </w:rPr>
      </w:pPr>
      <w:r>
        <w:rPr>
          <w:rStyle w:val="17"/>
          <w:rFonts w:hint="eastAsia" w:ascii="黑体" w:hAnsi="黑体" w:eastAsia="黑体" w:cstheme="minorBidi"/>
          <w:b w:val="0"/>
          <w:bCs w:val="0"/>
        </w:rPr>
        <w:t>第二部分</w:t>
      </w:r>
      <w:r>
        <w:rPr>
          <w:rFonts w:ascii="黑体" w:hAnsi="黑体" w:eastAsia="黑体"/>
          <w:color w:val="000000"/>
        </w:rPr>
        <w:t xml:space="preserve"> </w:t>
      </w:r>
      <w:r>
        <w:rPr>
          <w:rStyle w:val="17"/>
          <w:rFonts w:hint="eastAsia" w:ascii="黑体" w:hAnsi="黑体" w:eastAsia="黑体"/>
          <w:b w:val="0"/>
          <w:bCs w:val="0"/>
          <w:lang w:eastAsia="zh-CN"/>
        </w:rPr>
        <w:t>2023年</w:t>
      </w:r>
      <w:r>
        <w:rPr>
          <w:rStyle w:val="17"/>
          <w:rFonts w:hint="eastAsia" w:ascii="黑体" w:hAnsi="黑体" w:eastAsia="黑体"/>
          <w:b w:val="0"/>
          <w:bCs w:val="0"/>
        </w:rPr>
        <w:t>度部门决算情况说明</w:t>
      </w:r>
      <w:bookmarkEnd w:id="7"/>
      <w:bookmarkEnd w:id="8"/>
      <w:bookmarkEnd w:id="9"/>
    </w:p>
    <w:p w14:paraId="4A55F175">
      <w:pPr>
        <w:pageBreakBefore w:val="0"/>
        <w:kinsoku/>
        <w:wordWrap/>
        <w:overflowPunct/>
        <w:topLinePunct w:val="0"/>
        <w:autoSpaceDE/>
        <w:autoSpaceDN/>
        <w:bidi w:val="0"/>
        <w:adjustRightInd/>
        <w:snapToGrid/>
        <w:spacing w:line="560" w:lineRule="exact"/>
        <w:jc w:val="left"/>
        <w:textAlignment w:val="auto"/>
      </w:pPr>
    </w:p>
    <w:p w14:paraId="2632208A">
      <w:pPr>
        <w:pStyle w:val="19"/>
        <w:pageBreakBefore w:val="0"/>
        <w:numPr>
          <w:ilvl w:val="0"/>
          <w:numId w:val="1"/>
        </w:numPr>
        <w:kinsoku/>
        <w:wordWrap/>
        <w:overflowPunct/>
        <w:topLinePunct w:val="0"/>
        <w:autoSpaceDE/>
        <w:autoSpaceDN/>
        <w:bidi w:val="0"/>
        <w:adjustRightInd/>
        <w:snapToGrid/>
        <w:spacing w:line="560" w:lineRule="exact"/>
        <w:ind w:firstLineChars="0"/>
        <w:jc w:val="left"/>
        <w:textAlignment w:val="auto"/>
        <w:outlineLvl w:val="1"/>
        <w:rPr>
          <w:rStyle w:val="18"/>
          <w:rFonts w:ascii="黑体" w:hAnsi="黑体" w:eastAsia="黑体"/>
          <w:b w:val="0"/>
        </w:rPr>
      </w:pPr>
      <w:bookmarkStart w:id="10" w:name="_Toc15377205"/>
      <w:bookmarkStart w:id="11" w:name="_Toc15396603"/>
      <w:bookmarkStart w:id="12" w:name="_Toc1706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10"/>
      <w:bookmarkEnd w:id="11"/>
      <w:bookmarkEnd w:id="12"/>
    </w:p>
    <w:p w14:paraId="5B65551C">
      <w:pPr>
        <w:pageBreakBefore w:val="0"/>
        <w:kinsoku/>
        <w:wordWrap/>
        <w:overflowPunct/>
        <w:topLinePunct w:val="0"/>
        <w:autoSpaceDE/>
        <w:autoSpaceDN/>
        <w:bidi w:val="0"/>
        <w:adjustRightInd/>
        <w:snapToGrid/>
        <w:spacing w:line="560" w:lineRule="exact"/>
        <w:ind w:firstLine="709"/>
        <w:jc w:val="left"/>
        <w:textAlignment w:val="auto"/>
        <w:rPr>
          <w:rFonts w:ascii="仿宋_GB2312" w:hAnsi="仿宋" w:eastAsia="仿宋_GB2312" w:cs="仿宋"/>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度收、支总计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相比，收、支总计各增加</w:t>
      </w:r>
      <w:r>
        <w:rPr>
          <w:rFonts w:hint="eastAsia" w:ascii="仿宋_GB2312" w:hAnsi="仿宋_GB2312" w:cs="仿宋_GB2312"/>
          <w:color w:val="auto"/>
          <w:sz w:val="32"/>
          <w:szCs w:val="32"/>
          <w:highlight w:val="none"/>
          <w:lang w:val="en-US" w:eastAsia="zh-CN"/>
        </w:rPr>
        <w:t>56.02</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41.73</w:t>
      </w:r>
      <w:r>
        <w:rPr>
          <w:rFonts w:hint="eastAsia" w:ascii="仿宋_GB2312" w:hAnsi="仿宋_GB2312" w:eastAsia="仿宋_GB2312" w:cs="仿宋_GB2312"/>
          <w:color w:val="auto"/>
          <w:sz w:val="32"/>
          <w:szCs w:val="32"/>
          <w:highlight w:val="none"/>
        </w:rPr>
        <w:t>%。主要变动原因是</w:t>
      </w:r>
      <w:r>
        <w:rPr>
          <w:rFonts w:hint="eastAsia" w:ascii="仿宋_GB2312" w:hAnsi="仿宋" w:eastAsia="仿宋_GB2312" w:cs="仿宋"/>
          <w:sz w:val="32"/>
          <w:szCs w:val="32"/>
        </w:rPr>
        <w:t>2023年增加</w:t>
      </w:r>
      <w:r>
        <w:rPr>
          <w:rFonts w:hint="eastAsia" w:ascii="仿宋_GB2312" w:hAnsi="仿宋" w:cs="仿宋"/>
          <w:sz w:val="32"/>
          <w:szCs w:val="32"/>
          <w:lang w:eastAsia="zh-CN"/>
        </w:rPr>
        <w:t>了</w:t>
      </w:r>
      <w:r>
        <w:rPr>
          <w:rFonts w:hint="eastAsia" w:ascii="仿宋_GB2312" w:hAnsi="仿宋" w:eastAsia="仿宋_GB2312" w:cs="仿宋"/>
          <w:sz w:val="32"/>
          <w:szCs w:val="32"/>
        </w:rPr>
        <w:t>人员工资</w:t>
      </w:r>
      <w:r>
        <w:rPr>
          <w:rFonts w:hint="eastAsia" w:ascii="仿宋_GB2312" w:hAnsi="仿宋" w:cs="仿宋"/>
          <w:sz w:val="32"/>
          <w:szCs w:val="32"/>
          <w:lang w:eastAsia="zh-CN"/>
        </w:rPr>
        <w:t>、</w:t>
      </w:r>
      <w:r>
        <w:rPr>
          <w:rFonts w:hint="eastAsia" w:ascii="仿宋_GB2312" w:hAnsi="仿宋" w:eastAsia="仿宋_GB2312" w:cs="仿宋"/>
          <w:sz w:val="32"/>
          <w:szCs w:val="32"/>
        </w:rPr>
        <w:t>公用经费</w:t>
      </w:r>
      <w:r>
        <w:rPr>
          <w:rFonts w:hint="eastAsia" w:ascii="仿宋_GB2312" w:hAnsi="仿宋" w:cs="仿宋"/>
          <w:sz w:val="32"/>
          <w:szCs w:val="32"/>
          <w:lang w:eastAsia="zh-CN"/>
        </w:rPr>
        <w:t>和</w:t>
      </w:r>
      <w:r>
        <w:rPr>
          <w:rFonts w:hint="eastAsia" w:ascii="仿宋_GB2312" w:hAnsi="仿宋" w:eastAsia="仿宋_GB2312" w:cs="仿宋"/>
          <w:sz w:val="32"/>
          <w:szCs w:val="32"/>
        </w:rPr>
        <w:t>红十字改革及事业发展</w:t>
      </w:r>
      <w:r>
        <w:rPr>
          <w:rFonts w:hint="eastAsia" w:ascii="仿宋_GB2312" w:hAnsi="仿宋" w:cs="仿宋"/>
          <w:sz w:val="32"/>
          <w:szCs w:val="32"/>
          <w:lang w:eastAsia="zh-CN"/>
        </w:rPr>
        <w:t>、红十字“救”在身边</w:t>
      </w:r>
      <w:r>
        <w:rPr>
          <w:rFonts w:hint="eastAsia" w:ascii="仿宋_GB2312" w:hAnsi="仿宋" w:eastAsia="仿宋_GB2312" w:cs="仿宋"/>
          <w:sz w:val="32"/>
          <w:szCs w:val="32"/>
        </w:rPr>
        <w:t>项目经费。</w:t>
      </w:r>
    </w:p>
    <w:p w14:paraId="2982DEC5">
      <w:pPr>
        <w:pageBreakBefore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olor w:val="000000"/>
          <w:sz w:val="32"/>
          <w:szCs w:val="32"/>
        </w:rPr>
      </w:pPr>
      <w:r>
        <w:drawing>
          <wp:anchor distT="0" distB="0" distL="114935" distR="114935" simplePos="0" relativeHeight="251661312" behindDoc="0" locked="0" layoutInCell="1" allowOverlap="1">
            <wp:simplePos x="0" y="0"/>
            <wp:positionH relativeFrom="column">
              <wp:posOffset>62230</wp:posOffset>
            </wp:positionH>
            <wp:positionV relativeFrom="paragraph">
              <wp:posOffset>556260</wp:posOffset>
            </wp:positionV>
            <wp:extent cx="5231130" cy="2708275"/>
            <wp:effectExtent l="4445" t="4445" r="22225" b="11430"/>
            <wp:wrapTopAndBottom/>
            <wp:docPr id="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_GB2312" w:hAnsi="仿宋_GB2312" w:eastAsia="仿宋_GB2312" w:cs="仿宋_GB2312"/>
          <w:b/>
          <w:bCs/>
          <w:color w:val="000000"/>
          <w:sz w:val="32"/>
          <w:szCs w:val="32"/>
        </w:rPr>
        <w:t>图1：收、支决算总计变动情况图</w:t>
      </w:r>
      <w:r>
        <w:rPr>
          <w:rFonts w:hint="eastAsia" w:ascii="仿宋_GB2312" w:hAnsi="仿宋_GB2312" w:cs="仿宋_GB2312"/>
          <w:b/>
          <w:bCs/>
          <w:color w:val="000000"/>
          <w:sz w:val="32"/>
          <w:szCs w:val="32"/>
          <w:lang w:eastAsia="zh-CN"/>
        </w:rPr>
        <w:t>（单位：万元）</w:t>
      </w:r>
    </w:p>
    <w:p w14:paraId="09B64F52">
      <w:pPr>
        <w:pStyle w:val="19"/>
        <w:numPr>
          <w:ilvl w:val="0"/>
          <w:numId w:val="0"/>
        </w:numPr>
        <w:spacing w:line="600" w:lineRule="exact"/>
        <w:ind w:firstLine="640" w:firstLineChars="200"/>
        <w:outlineLvl w:val="1"/>
        <w:rPr>
          <w:rStyle w:val="18"/>
          <w:rFonts w:ascii="黑体" w:hAnsi="黑体" w:eastAsia="黑体"/>
          <w:b w:val="0"/>
        </w:rPr>
      </w:pPr>
      <w:bookmarkStart w:id="13" w:name="_Toc15396604"/>
      <w:bookmarkStart w:id="14" w:name="_Toc12413"/>
      <w:bookmarkStart w:id="15"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18"/>
          <w:rFonts w:hint="eastAsia" w:ascii="黑体" w:hAnsi="黑体" w:eastAsia="黑体"/>
          <w:b w:val="0"/>
        </w:rPr>
        <w:t>入决算情况说明</w:t>
      </w:r>
      <w:bookmarkEnd w:id="13"/>
      <w:bookmarkEnd w:id="14"/>
      <w:bookmarkEnd w:id="15"/>
    </w:p>
    <w:p w14:paraId="50ECD820">
      <w:pPr>
        <w:spacing w:line="600" w:lineRule="exact"/>
        <w:ind w:firstLine="640" w:firstLineChars="200"/>
        <w:outlineLvl w:val="9"/>
        <w:rPr>
          <w:rFonts w:hint="eastAsia" w:ascii="仿宋" w:hAnsi="仿宋" w:eastAsia="仿宋_GB2312"/>
          <w:color w:val="000000"/>
          <w:sz w:val="32"/>
          <w:szCs w:val="32"/>
          <w:lang w:eastAsia="zh-CN"/>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本年收入合计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89.49</w:t>
      </w:r>
      <w:r>
        <w:rPr>
          <w:rFonts w:hint="eastAsia" w:ascii="仿宋_GB2312" w:hAnsi="仿宋_GB2312" w:eastAsia="仿宋_GB2312" w:cs="仿宋_GB2312"/>
          <w:color w:val="auto"/>
          <w:sz w:val="32"/>
          <w:szCs w:val="32"/>
          <w:highlight w:val="none"/>
        </w:rPr>
        <w:t>%；政府性基金预算财政拨款收入</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10.51</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w:t>
      </w:r>
    </w:p>
    <w:p w14:paraId="6FD1D945">
      <w:pPr>
        <w:spacing w:line="600" w:lineRule="exact"/>
        <w:ind w:firstLine="643" w:firstLineChars="200"/>
        <w:jc w:val="center"/>
        <w:rPr>
          <w:rFonts w:ascii="仿宋_GB2312" w:eastAsia="仿宋_GB2312"/>
          <w:color w:val="FF0000"/>
          <w:sz w:val="32"/>
          <w:szCs w:val="32"/>
        </w:rPr>
      </w:pPr>
      <w:r>
        <w:rPr>
          <w:rFonts w:hint="eastAsia" w:ascii="仿宋_GB2312" w:hAnsi="仿宋_GB2312" w:eastAsia="仿宋_GB2312" w:cs="仿宋_GB2312"/>
          <w:b/>
          <w:bCs/>
          <w:color w:val="000000"/>
          <w:sz w:val="32"/>
          <w:szCs w:val="32"/>
        </w:rPr>
        <w:t>图2：收入决算结构图</w:t>
      </w:r>
    </w:p>
    <w:p w14:paraId="0E096816">
      <w:pPr>
        <w:pStyle w:val="19"/>
        <w:numPr>
          <w:ilvl w:val="0"/>
          <w:numId w:val="1"/>
        </w:numPr>
        <w:spacing w:line="600" w:lineRule="exact"/>
        <w:ind w:firstLineChars="0"/>
        <w:outlineLvl w:val="1"/>
        <w:rPr>
          <w:rStyle w:val="18"/>
          <w:rFonts w:ascii="黑体" w:hAnsi="黑体" w:eastAsia="黑体"/>
          <w:b w:val="0"/>
        </w:rPr>
      </w:pPr>
      <w:bookmarkStart w:id="16" w:name="_Toc15377207"/>
      <w:bookmarkStart w:id="17" w:name="_Toc15396605"/>
      <w:bookmarkStart w:id="18" w:name="_Toc8342"/>
      <w:r>
        <w:drawing>
          <wp:anchor distT="0" distB="0" distL="114300" distR="114300" simplePos="0" relativeHeight="251662336" behindDoc="0" locked="0" layoutInCell="1" allowOverlap="1">
            <wp:simplePos x="0" y="0"/>
            <wp:positionH relativeFrom="column">
              <wp:posOffset>58420</wp:posOffset>
            </wp:positionH>
            <wp:positionV relativeFrom="paragraph">
              <wp:posOffset>61595</wp:posOffset>
            </wp:positionV>
            <wp:extent cx="5210175" cy="2828925"/>
            <wp:effectExtent l="4445" t="4445" r="5080" b="5080"/>
            <wp:wrapTopAndBottom/>
            <wp:docPr id="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color w:val="000000"/>
          <w:sz w:val="32"/>
          <w:szCs w:val="32"/>
        </w:rPr>
        <w:t>支</w:t>
      </w:r>
      <w:r>
        <w:rPr>
          <w:rStyle w:val="18"/>
          <w:rFonts w:hint="eastAsia" w:ascii="黑体" w:hAnsi="黑体" w:eastAsia="黑体"/>
          <w:b w:val="0"/>
        </w:rPr>
        <w:t>出决算情况说明</w:t>
      </w:r>
      <w:bookmarkEnd w:id="16"/>
      <w:bookmarkEnd w:id="17"/>
      <w:bookmarkEnd w:id="18"/>
    </w:p>
    <w:p w14:paraId="6CBA1281">
      <w:pPr>
        <w:spacing w:line="600" w:lineRule="exact"/>
        <w:ind w:firstLine="640" w:firstLineChars="200"/>
        <w:outlineLvl w:val="9"/>
        <w:rPr>
          <w:rFonts w:hint="eastAsia" w:ascii="仿宋_GB2312" w:hAnsi="仿宋_GB2312" w:eastAsia="仿宋_GB2312" w:cs="仿宋_GB2312"/>
          <w:color w:val="000000"/>
          <w:sz w:val="32"/>
          <w:szCs w:val="32"/>
          <w:lang w:eastAsia="zh-CN"/>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本年支出合计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cs="仿宋_GB2312"/>
          <w:color w:val="auto"/>
          <w:sz w:val="32"/>
          <w:szCs w:val="32"/>
          <w:highlight w:val="none"/>
          <w:lang w:val="en-US" w:eastAsia="zh-CN"/>
        </w:rPr>
        <w:t>151.17</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79.45</w:t>
      </w:r>
      <w:r>
        <w:rPr>
          <w:rFonts w:hint="eastAsia" w:ascii="仿宋_GB2312" w:hAnsi="仿宋_GB2312" w:eastAsia="仿宋_GB2312" w:cs="仿宋_GB2312"/>
          <w:color w:val="auto"/>
          <w:sz w:val="32"/>
          <w:szCs w:val="32"/>
          <w:highlight w:val="none"/>
        </w:rPr>
        <w:t>%；项目支出</w:t>
      </w:r>
      <w:r>
        <w:rPr>
          <w:rFonts w:hint="eastAsia" w:ascii="仿宋_GB2312" w:hAnsi="仿宋_GB2312" w:cs="仿宋_GB2312"/>
          <w:color w:val="auto"/>
          <w:sz w:val="32"/>
          <w:szCs w:val="32"/>
          <w:highlight w:val="none"/>
          <w:lang w:val="en-US" w:eastAsia="zh-CN"/>
        </w:rPr>
        <w:t>39.09</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20.55</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w:t>
      </w:r>
    </w:p>
    <w:p w14:paraId="60B6DD77">
      <w:pPr>
        <w:spacing w:line="600" w:lineRule="exact"/>
        <w:ind w:firstLine="640" w:firstLineChars="200"/>
        <w:jc w:val="center"/>
        <w:rPr>
          <w:rFonts w:ascii="仿宋_GB2312" w:eastAsia="仿宋_GB2312"/>
          <w:color w:val="FF0000"/>
          <w:sz w:val="32"/>
          <w:szCs w:val="32"/>
        </w:rPr>
      </w:pPr>
      <w:r>
        <w:drawing>
          <wp:anchor distT="0" distB="0" distL="114300" distR="114300" simplePos="0" relativeHeight="251663360" behindDoc="0" locked="0" layoutInCell="1" allowOverlap="1">
            <wp:simplePos x="0" y="0"/>
            <wp:positionH relativeFrom="column">
              <wp:posOffset>39370</wp:posOffset>
            </wp:positionH>
            <wp:positionV relativeFrom="paragraph">
              <wp:posOffset>460375</wp:posOffset>
            </wp:positionV>
            <wp:extent cx="5180965" cy="2573655"/>
            <wp:effectExtent l="4445" t="4445" r="15240" b="12700"/>
            <wp:wrapTopAndBottom/>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hAnsi="仿宋_GB2312" w:eastAsia="仿宋_GB2312" w:cs="仿宋_GB2312"/>
          <w:b/>
          <w:bCs/>
          <w:color w:val="000000"/>
          <w:sz w:val="32"/>
          <w:szCs w:val="32"/>
        </w:rPr>
        <w:t>图3：支出决算结构图</w:t>
      </w:r>
    </w:p>
    <w:p w14:paraId="2D479867">
      <w:pPr>
        <w:spacing w:line="600" w:lineRule="exact"/>
        <w:ind w:firstLine="640" w:firstLineChars="200"/>
        <w:outlineLvl w:val="1"/>
        <w:rPr>
          <w:rStyle w:val="18"/>
          <w:rFonts w:ascii="黑体" w:hAnsi="黑体" w:eastAsia="黑体"/>
          <w:b w:val="0"/>
        </w:rPr>
      </w:pPr>
      <w:bookmarkStart w:id="19" w:name="_Toc15396606"/>
      <w:bookmarkStart w:id="20" w:name="_Toc23551"/>
      <w:bookmarkStart w:id="21"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19"/>
      <w:bookmarkEnd w:id="20"/>
      <w:bookmarkEnd w:id="21"/>
    </w:p>
    <w:p w14:paraId="306B556F">
      <w:pPr>
        <w:spacing w:line="600" w:lineRule="exact"/>
        <w:ind w:firstLine="640"/>
        <w:rPr>
          <w:rFonts w:ascii="仿宋" w:hAnsi="仿宋" w:eastAsia="仿宋"/>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cs="仿宋_GB2312"/>
          <w:color w:val="auto"/>
          <w:sz w:val="32"/>
          <w:szCs w:val="32"/>
          <w:highlight w:val="none"/>
          <w:lang w:val="en-US" w:eastAsia="zh-CN"/>
        </w:rPr>
        <w:t>190.26</w:t>
      </w:r>
      <w:r>
        <w:rPr>
          <w:rFonts w:hint="eastAsia" w:ascii="仿宋_GB2312" w:hAnsi="仿宋_GB2312" w:eastAsia="仿宋_GB2312" w:cs="仿宋_GB2312"/>
          <w:color w:val="auto"/>
          <w:sz w:val="32"/>
          <w:szCs w:val="32"/>
          <w:highlight w:val="none"/>
        </w:rPr>
        <w:t>万元。与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相比，财政拨款收、支总计各增加</w:t>
      </w:r>
      <w:r>
        <w:rPr>
          <w:rFonts w:hint="eastAsia" w:ascii="仿宋_GB2312" w:hAnsi="仿宋_GB2312" w:cs="仿宋_GB2312"/>
          <w:color w:val="auto"/>
          <w:sz w:val="32"/>
          <w:szCs w:val="32"/>
          <w:highlight w:val="none"/>
          <w:lang w:val="en-US" w:eastAsia="zh-CN"/>
        </w:rPr>
        <w:t>56.02</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41.73</w:t>
      </w:r>
      <w:r>
        <w:rPr>
          <w:rFonts w:hint="eastAsia" w:ascii="仿宋_GB2312" w:hAnsi="仿宋_GB2312" w:eastAsia="仿宋_GB2312" w:cs="仿宋_GB2312"/>
          <w:color w:val="auto"/>
          <w:sz w:val="32"/>
          <w:szCs w:val="32"/>
          <w:highlight w:val="none"/>
        </w:rPr>
        <w:t>%。主要变动原因是</w:t>
      </w:r>
      <w:r>
        <w:rPr>
          <w:rFonts w:hint="eastAsia" w:ascii="仿宋_GB2312" w:hAnsi="仿宋" w:eastAsia="仿宋_GB2312" w:cs="仿宋"/>
          <w:sz w:val="32"/>
          <w:szCs w:val="32"/>
        </w:rPr>
        <w:t>2023年增加</w:t>
      </w:r>
      <w:r>
        <w:rPr>
          <w:rFonts w:hint="eastAsia" w:ascii="仿宋_GB2312" w:hAnsi="仿宋" w:cs="仿宋"/>
          <w:sz w:val="32"/>
          <w:szCs w:val="32"/>
          <w:lang w:eastAsia="zh-CN"/>
        </w:rPr>
        <w:t>了</w:t>
      </w:r>
      <w:r>
        <w:rPr>
          <w:rFonts w:hint="eastAsia" w:ascii="仿宋_GB2312" w:hAnsi="仿宋" w:eastAsia="仿宋_GB2312" w:cs="仿宋"/>
          <w:sz w:val="32"/>
          <w:szCs w:val="32"/>
        </w:rPr>
        <w:t>人员工资</w:t>
      </w:r>
      <w:r>
        <w:rPr>
          <w:rFonts w:hint="eastAsia" w:ascii="仿宋_GB2312" w:hAnsi="仿宋" w:cs="仿宋"/>
          <w:sz w:val="32"/>
          <w:szCs w:val="32"/>
          <w:lang w:eastAsia="zh-CN"/>
        </w:rPr>
        <w:t>、</w:t>
      </w:r>
      <w:r>
        <w:rPr>
          <w:rFonts w:hint="eastAsia" w:ascii="仿宋_GB2312" w:hAnsi="仿宋" w:eastAsia="仿宋_GB2312" w:cs="仿宋"/>
          <w:sz w:val="32"/>
          <w:szCs w:val="32"/>
        </w:rPr>
        <w:t>公用经费</w:t>
      </w:r>
      <w:r>
        <w:rPr>
          <w:rFonts w:hint="eastAsia" w:ascii="仿宋_GB2312" w:hAnsi="仿宋" w:cs="仿宋"/>
          <w:sz w:val="32"/>
          <w:szCs w:val="32"/>
          <w:lang w:eastAsia="zh-CN"/>
        </w:rPr>
        <w:t>和</w:t>
      </w:r>
      <w:r>
        <w:rPr>
          <w:rFonts w:hint="eastAsia" w:ascii="仿宋_GB2312" w:hAnsi="仿宋" w:eastAsia="仿宋_GB2312" w:cs="仿宋"/>
          <w:sz w:val="32"/>
          <w:szCs w:val="32"/>
        </w:rPr>
        <w:t>红十字改革及事业发展</w:t>
      </w:r>
      <w:r>
        <w:rPr>
          <w:rFonts w:hint="eastAsia" w:ascii="仿宋_GB2312" w:hAnsi="仿宋" w:cs="仿宋"/>
          <w:sz w:val="32"/>
          <w:szCs w:val="32"/>
          <w:lang w:eastAsia="zh-CN"/>
        </w:rPr>
        <w:t>、红十字“救”在身边</w:t>
      </w:r>
      <w:r>
        <w:rPr>
          <w:rFonts w:hint="eastAsia" w:ascii="仿宋_GB2312" w:hAnsi="仿宋" w:eastAsia="仿宋_GB2312" w:cs="仿宋"/>
          <w:sz w:val="32"/>
          <w:szCs w:val="32"/>
        </w:rPr>
        <w:t>项目经费。</w:t>
      </w:r>
    </w:p>
    <w:p w14:paraId="65446DD2">
      <w:pPr>
        <w:spacing w:line="600" w:lineRule="exact"/>
        <w:ind w:firstLine="643" w:firstLineChars="200"/>
        <w:jc w:val="both"/>
        <w:rPr>
          <w:rFonts w:ascii="仿宋" w:hAnsi="仿宋" w:eastAsia="仿宋"/>
          <w:b/>
          <w:color w:val="00B050"/>
          <w:sz w:val="32"/>
          <w:szCs w:val="32"/>
        </w:rPr>
      </w:pPr>
      <w:r>
        <w:rPr>
          <w:rFonts w:hint="eastAsia" w:ascii="仿宋_GB2312" w:hAnsi="仿宋_GB2312" w:eastAsia="仿宋_GB2312" w:cs="仿宋_GB2312"/>
          <w:b/>
          <w:bCs/>
          <w:color w:val="000000"/>
          <w:sz w:val="32"/>
          <w:szCs w:val="32"/>
        </w:rPr>
        <w:t>图4：财政拨款收、支决算总计变动情况</w:t>
      </w:r>
      <w:r>
        <w:rPr>
          <w:rFonts w:hint="eastAsia" w:ascii="仿宋_GB2312" w:hAnsi="仿宋_GB2312" w:cs="仿宋_GB2312"/>
          <w:b/>
          <w:bCs/>
          <w:color w:val="000000"/>
          <w:sz w:val="32"/>
          <w:szCs w:val="32"/>
          <w:lang w:eastAsia="zh-CN"/>
        </w:rPr>
        <w:t>（单位：万元）</w:t>
      </w:r>
      <w:r>
        <w:drawing>
          <wp:anchor distT="0" distB="0" distL="114935" distR="114935" simplePos="0" relativeHeight="251664384" behindDoc="0" locked="0" layoutInCell="1" allowOverlap="1">
            <wp:simplePos x="0" y="0"/>
            <wp:positionH relativeFrom="column">
              <wp:posOffset>52070</wp:posOffset>
            </wp:positionH>
            <wp:positionV relativeFrom="paragraph">
              <wp:posOffset>147320</wp:posOffset>
            </wp:positionV>
            <wp:extent cx="5231130" cy="3013075"/>
            <wp:effectExtent l="4445" t="4445" r="22225" b="11430"/>
            <wp:wrapTopAndBottom/>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6F74B06">
      <w:pPr>
        <w:spacing w:line="600" w:lineRule="exact"/>
        <w:ind w:firstLine="640" w:firstLineChars="200"/>
        <w:outlineLvl w:val="1"/>
        <w:rPr>
          <w:rStyle w:val="18"/>
          <w:rFonts w:ascii="黑体" w:hAnsi="黑体" w:eastAsia="黑体"/>
          <w:b w:val="0"/>
        </w:rPr>
      </w:pPr>
      <w:bookmarkStart w:id="22" w:name="_Toc15396607"/>
      <w:bookmarkStart w:id="23" w:name="_Toc15377209"/>
      <w:bookmarkStart w:id="24" w:name="_Toc75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22"/>
      <w:bookmarkEnd w:id="23"/>
      <w:bookmarkEnd w:id="24"/>
    </w:p>
    <w:p w14:paraId="6818B71F">
      <w:pPr>
        <w:spacing w:line="600" w:lineRule="exact"/>
        <w:ind w:firstLine="643" w:firstLineChars="200"/>
        <w:outlineLvl w:val="2"/>
        <w:rPr>
          <w:rFonts w:ascii="仿宋" w:hAnsi="仿宋" w:eastAsia="仿宋"/>
          <w:b/>
          <w:color w:val="000000"/>
          <w:sz w:val="32"/>
          <w:szCs w:val="32"/>
        </w:rPr>
      </w:pPr>
      <w:bookmarkStart w:id="25" w:name="_Toc15377210"/>
      <w:r>
        <w:rPr>
          <w:rFonts w:hint="eastAsia" w:ascii="仿宋" w:hAnsi="仿宋" w:eastAsia="仿宋"/>
          <w:b/>
          <w:color w:val="000000"/>
          <w:sz w:val="32"/>
          <w:szCs w:val="32"/>
        </w:rPr>
        <w:t>（一）一般公共预算财政拨款支出决算总体情况</w:t>
      </w:r>
      <w:bookmarkEnd w:id="25"/>
    </w:p>
    <w:p w14:paraId="0B35365B">
      <w:pPr>
        <w:spacing w:line="600" w:lineRule="exact"/>
        <w:ind w:firstLine="640" w:firstLineChars="200"/>
        <w:rPr>
          <w:rFonts w:hint="eastAsia" w:ascii="仿宋" w:hAnsi="仿宋" w:eastAsia="仿宋"/>
          <w:b/>
          <w:color w:val="FF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cs="仿宋_GB2312"/>
          <w:color w:val="auto"/>
          <w:sz w:val="32"/>
          <w:szCs w:val="32"/>
          <w:highlight w:val="none"/>
          <w:lang w:val="en-US" w:eastAsia="zh-CN"/>
        </w:rPr>
        <w:t>89.49</w:t>
      </w:r>
      <w:r>
        <w:rPr>
          <w:rFonts w:hint="eastAsia" w:ascii="仿宋_GB2312" w:hAnsi="仿宋_GB2312" w:eastAsia="仿宋_GB2312" w:cs="仿宋_GB2312"/>
          <w:color w:val="auto"/>
          <w:sz w:val="32"/>
          <w:szCs w:val="32"/>
          <w:highlight w:val="none"/>
        </w:rPr>
        <w:t>%。与</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46.02</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37.04</w:t>
      </w:r>
      <w:r>
        <w:rPr>
          <w:rFonts w:hint="eastAsia" w:ascii="仿宋_GB2312" w:hAnsi="仿宋_GB2312" w:eastAsia="仿宋_GB2312" w:cs="仿宋_GB2312"/>
          <w:color w:val="auto"/>
          <w:sz w:val="32"/>
          <w:szCs w:val="32"/>
          <w:highlight w:val="none"/>
        </w:rPr>
        <w:t>%。主要变动原因是</w:t>
      </w:r>
      <w:r>
        <w:rPr>
          <w:rFonts w:hint="eastAsia" w:ascii="仿宋_GB2312" w:hAnsi="仿宋" w:eastAsia="仿宋_GB2312" w:cs="仿宋"/>
          <w:sz w:val="32"/>
          <w:szCs w:val="32"/>
        </w:rPr>
        <w:t>2023年增加</w:t>
      </w:r>
      <w:r>
        <w:rPr>
          <w:rFonts w:hint="eastAsia" w:ascii="仿宋_GB2312" w:hAnsi="仿宋" w:cs="仿宋"/>
          <w:sz w:val="32"/>
          <w:szCs w:val="32"/>
          <w:lang w:eastAsia="zh-CN"/>
        </w:rPr>
        <w:t>了</w:t>
      </w:r>
      <w:r>
        <w:rPr>
          <w:rFonts w:hint="eastAsia" w:ascii="仿宋_GB2312" w:hAnsi="仿宋" w:eastAsia="仿宋_GB2312" w:cs="仿宋"/>
          <w:sz w:val="32"/>
          <w:szCs w:val="32"/>
        </w:rPr>
        <w:t>人员工资</w:t>
      </w:r>
      <w:r>
        <w:rPr>
          <w:rFonts w:hint="eastAsia" w:ascii="仿宋_GB2312" w:hAnsi="仿宋" w:cs="仿宋"/>
          <w:sz w:val="32"/>
          <w:szCs w:val="32"/>
          <w:lang w:eastAsia="zh-CN"/>
        </w:rPr>
        <w:t>、</w:t>
      </w:r>
      <w:r>
        <w:rPr>
          <w:rFonts w:hint="eastAsia" w:ascii="仿宋_GB2312" w:hAnsi="仿宋" w:eastAsia="仿宋_GB2312" w:cs="仿宋"/>
          <w:sz w:val="32"/>
          <w:szCs w:val="32"/>
        </w:rPr>
        <w:t>公用经费</w:t>
      </w:r>
      <w:r>
        <w:rPr>
          <w:rFonts w:hint="eastAsia" w:ascii="仿宋_GB2312" w:hAnsi="仿宋" w:cs="仿宋"/>
          <w:sz w:val="32"/>
          <w:szCs w:val="32"/>
          <w:lang w:eastAsia="zh-CN"/>
        </w:rPr>
        <w:t>和</w:t>
      </w:r>
      <w:r>
        <w:rPr>
          <w:rFonts w:hint="eastAsia" w:ascii="仿宋_GB2312" w:hAnsi="仿宋" w:eastAsia="仿宋_GB2312" w:cs="仿宋"/>
          <w:sz w:val="32"/>
          <w:szCs w:val="32"/>
        </w:rPr>
        <w:t>红十字改革及事业发展项目经费</w:t>
      </w:r>
      <w:r>
        <w:rPr>
          <w:rFonts w:hint="eastAsia" w:ascii="仿宋_GB2312" w:hAnsi="仿宋" w:cs="仿宋"/>
          <w:sz w:val="32"/>
          <w:szCs w:val="32"/>
          <w:lang w:eastAsia="zh-CN"/>
        </w:rPr>
        <w:t>支出</w:t>
      </w:r>
      <w:r>
        <w:rPr>
          <w:rFonts w:hint="eastAsia" w:ascii="仿宋_GB2312" w:hAnsi="仿宋" w:eastAsia="仿宋_GB2312" w:cs="仿宋"/>
          <w:sz w:val="32"/>
          <w:szCs w:val="32"/>
        </w:rPr>
        <w:t>。</w:t>
      </w:r>
    </w:p>
    <w:p w14:paraId="6B568AED">
      <w:pPr>
        <w:spacing w:line="600" w:lineRule="exact"/>
        <w:ind w:firstLine="643" w:firstLineChars="200"/>
        <w:rPr>
          <w:rFonts w:ascii="仿宋" w:hAnsi="仿宋" w:eastAsia="仿宋"/>
          <w:color w:val="000000"/>
          <w:sz w:val="32"/>
          <w:szCs w:val="32"/>
        </w:rPr>
      </w:pPr>
      <w:r>
        <w:rPr>
          <w:rFonts w:hint="eastAsia" w:ascii="仿宋_GB2312" w:hAnsi="仿宋_GB2312" w:eastAsia="仿宋_GB2312" w:cs="仿宋_GB2312"/>
          <w:b/>
          <w:bCs/>
          <w:color w:val="000000"/>
          <w:sz w:val="32"/>
          <w:szCs w:val="32"/>
        </w:rPr>
        <w:t>图5：一般公共预算财政拨款支出决算变动情况</w:t>
      </w:r>
    </w:p>
    <w:p w14:paraId="555AD884">
      <w:pPr>
        <w:spacing w:line="600" w:lineRule="exact"/>
        <w:ind w:firstLine="640" w:firstLineChars="200"/>
        <w:outlineLvl w:val="2"/>
        <w:rPr>
          <w:rFonts w:ascii="仿宋" w:hAnsi="仿宋" w:eastAsia="仿宋"/>
          <w:b/>
          <w:color w:val="000000"/>
          <w:sz w:val="32"/>
          <w:szCs w:val="32"/>
        </w:rPr>
      </w:pPr>
      <w:bookmarkStart w:id="26" w:name="_Toc15377211"/>
      <w:r>
        <w:drawing>
          <wp:anchor distT="0" distB="0" distL="114300" distR="114300" simplePos="0" relativeHeight="251665408" behindDoc="0" locked="0" layoutInCell="1" allowOverlap="1">
            <wp:simplePos x="0" y="0"/>
            <wp:positionH relativeFrom="column">
              <wp:posOffset>220345</wp:posOffset>
            </wp:positionH>
            <wp:positionV relativeFrom="paragraph">
              <wp:posOffset>118745</wp:posOffset>
            </wp:positionV>
            <wp:extent cx="5105400" cy="2771775"/>
            <wp:effectExtent l="4445" t="4445" r="14605" b="5080"/>
            <wp:wrapTopAndBottom/>
            <wp:docPr id="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b/>
          <w:color w:val="000000"/>
          <w:sz w:val="32"/>
          <w:szCs w:val="32"/>
        </w:rPr>
        <w:t>（二）一般公共预算财政拨款支出决算结构情况</w:t>
      </w:r>
      <w:bookmarkEnd w:id="26"/>
    </w:p>
    <w:p w14:paraId="2DD68C23">
      <w:pPr>
        <w:spacing w:line="600" w:lineRule="exact"/>
        <w:ind w:firstLine="640"/>
        <w:rPr>
          <w:rFonts w:ascii="仿宋" w:hAnsi="仿宋" w:eastAsia="仿宋"/>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一般公共预算财政拨款支出</w:t>
      </w:r>
      <w:r>
        <w:rPr>
          <w:rFonts w:hint="eastAsia" w:ascii="仿宋_GB2312" w:hAnsi="仿宋_GB2312" w:cs="仿宋_GB2312"/>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149.99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88.09</w:t>
      </w:r>
      <w:r>
        <w:rPr>
          <w:rFonts w:hint="eastAsia" w:ascii="仿宋_GB2312" w:hAnsi="仿宋_GB2312" w:eastAsia="仿宋_GB2312" w:cs="仿宋_GB2312"/>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8.91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5.23</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11.36</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6.68</w:t>
      </w:r>
      <w:r>
        <w:rPr>
          <w:rFonts w:hint="eastAsia" w:ascii="仿宋_GB2312" w:hAnsi="仿宋_GB2312" w:eastAsia="仿宋_GB2312" w:cs="仿宋_GB2312"/>
          <w:color w:val="auto"/>
          <w:sz w:val="32"/>
          <w:szCs w:val="32"/>
          <w:highlight w:val="none"/>
        </w:rPr>
        <w:t>%。</w:t>
      </w:r>
    </w:p>
    <w:p w14:paraId="5A1AB718">
      <w:pPr>
        <w:spacing w:line="600" w:lineRule="exact"/>
        <w:jc w:val="center"/>
        <w:rPr>
          <w:rFonts w:ascii="仿宋" w:hAnsi="仿宋" w:eastAsia="仿宋"/>
          <w:color w:val="000000"/>
          <w:sz w:val="32"/>
          <w:szCs w:val="32"/>
        </w:rPr>
      </w:pPr>
      <w:r>
        <w:rPr>
          <w:rFonts w:hint="eastAsia" w:ascii="仿宋_GB2312" w:hAnsi="仿宋_GB2312" w:eastAsia="仿宋_GB2312" w:cs="仿宋_GB2312"/>
          <w:b/>
          <w:bCs/>
          <w:color w:val="000000"/>
          <w:sz w:val="32"/>
          <w:szCs w:val="32"/>
        </w:rPr>
        <w:t>图6：一般公共预算财政拨款支出决算结构</w:t>
      </w:r>
      <w:r>
        <w:drawing>
          <wp:anchor distT="0" distB="0" distL="114300" distR="114300" simplePos="0" relativeHeight="251666432" behindDoc="0" locked="0" layoutInCell="1" allowOverlap="1">
            <wp:simplePos x="0" y="0"/>
            <wp:positionH relativeFrom="column">
              <wp:posOffset>106045</wp:posOffset>
            </wp:positionH>
            <wp:positionV relativeFrom="paragraph">
              <wp:posOffset>180340</wp:posOffset>
            </wp:positionV>
            <wp:extent cx="4971415" cy="3114675"/>
            <wp:effectExtent l="4445" t="4445" r="15240" b="5080"/>
            <wp:wrapTopAndBottom/>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_GB2312" w:hAnsi="仿宋_GB2312" w:cs="仿宋_GB2312"/>
          <w:b/>
          <w:bCs/>
          <w:color w:val="000000"/>
          <w:sz w:val="32"/>
          <w:szCs w:val="32"/>
          <w:lang w:eastAsia="zh-CN"/>
        </w:rPr>
        <w:t>图</w:t>
      </w:r>
    </w:p>
    <w:p w14:paraId="2CDCCE69">
      <w:pPr>
        <w:spacing w:line="600" w:lineRule="exact"/>
        <w:ind w:firstLine="643" w:firstLineChars="200"/>
        <w:outlineLvl w:val="2"/>
        <w:rPr>
          <w:rFonts w:ascii="仿宋" w:hAnsi="仿宋" w:eastAsia="仿宋"/>
          <w:b/>
          <w:color w:val="000000"/>
          <w:sz w:val="32"/>
          <w:szCs w:val="32"/>
        </w:rPr>
      </w:pPr>
      <w:bookmarkStart w:id="27" w:name="_Toc15377212"/>
      <w:r>
        <w:rPr>
          <w:rFonts w:hint="eastAsia" w:ascii="仿宋" w:hAnsi="仿宋" w:eastAsia="仿宋"/>
          <w:b/>
          <w:color w:val="000000"/>
          <w:sz w:val="32"/>
          <w:szCs w:val="32"/>
        </w:rPr>
        <w:t>（三）一般公共预算财政拨款支出决算具体情况</w:t>
      </w:r>
      <w:bookmarkEnd w:id="27"/>
    </w:p>
    <w:p w14:paraId="61272D18">
      <w:pPr>
        <w:spacing w:line="600" w:lineRule="exact"/>
        <w:ind w:firstLine="643" w:firstLineChars="200"/>
        <w:outlineLvl w:val="2"/>
        <w:rPr>
          <w:rFonts w:hint="eastAsia" w:ascii="仿宋_GB2312" w:hAnsi="仿宋_GB2312" w:eastAsia="仿宋_GB2312" w:cs="仿宋_GB2312"/>
          <w:color w:val="auto"/>
          <w:sz w:val="32"/>
          <w:szCs w:val="32"/>
          <w:highlight w:val="none"/>
        </w:rPr>
      </w:pPr>
      <w:bookmarkStart w:id="28" w:name="_Toc15378460"/>
      <w:bookmarkStart w:id="29" w:name="_Toc15377444"/>
      <w:bookmarkStart w:id="30" w:name="_Toc15377213"/>
      <w:r>
        <w:rPr>
          <w:rFonts w:hint="eastAsia" w:ascii="仿宋_GB2312" w:hAnsi="仿宋_GB2312" w:cs="仿宋_GB2312"/>
          <w:b/>
          <w:color w:val="auto"/>
          <w:sz w:val="32"/>
          <w:szCs w:val="32"/>
          <w:highlight w:val="none"/>
          <w:lang w:eastAsia="zh-CN"/>
        </w:rPr>
        <w:t>2023年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cs="仿宋_GB2312"/>
          <w:b/>
          <w:color w:val="auto"/>
          <w:sz w:val="32"/>
          <w:szCs w:val="32"/>
          <w:highlight w:val="none"/>
          <w:lang w:val="en-US" w:eastAsia="zh-CN"/>
        </w:rPr>
        <w:t>170.26</w:t>
      </w:r>
      <w:r>
        <w:rPr>
          <w:rFonts w:hint="eastAsia" w:ascii="仿宋_GB2312" w:hAnsi="仿宋_GB2312" w:eastAsia="仿宋_GB2312" w:cs="仿宋_GB2312"/>
          <w:color w:val="auto"/>
          <w:sz w:val="32"/>
          <w:szCs w:val="32"/>
          <w:highlight w:val="none"/>
        </w:rPr>
        <w:t>，</w:t>
      </w:r>
      <w:r>
        <w:rPr>
          <w:rStyle w:val="15"/>
          <w:rFonts w:hint="eastAsia" w:ascii="仿宋_GB2312" w:hAnsi="仿宋_GB2312" w:eastAsia="仿宋_GB2312" w:cs="仿宋_GB2312"/>
          <w:bCs/>
          <w:color w:val="auto"/>
          <w:sz w:val="32"/>
          <w:szCs w:val="32"/>
          <w:highlight w:val="none"/>
        </w:rPr>
        <w:t>完成预算</w:t>
      </w:r>
      <w:r>
        <w:rPr>
          <w:rStyle w:val="15"/>
          <w:rFonts w:hint="eastAsia" w:ascii="仿宋_GB2312" w:hAnsi="仿宋_GB2312" w:cs="仿宋_GB2312"/>
          <w:bCs/>
          <w:color w:val="auto"/>
          <w:sz w:val="32"/>
          <w:szCs w:val="32"/>
          <w:highlight w:val="none"/>
          <w:lang w:val="en-US" w:eastAsia="zh-CN"/>
        </w:rPr>
        <w:t>100</w:t>
      </w:r>
      <w:r>
        <w:rPr>
          <w:rStyle w:val="15"/>
          <w:rFonts w:hint="eastAsia" w:ascii="仿宋_GB2312" w:hAnsi="仿宋_GB2312" w:eastAsia="仿宋_GB2312" w:cs="仿宋_GB2312"/>
          <w:bCs/>
          <w:color w:val="auto"/>
          <w:sz w:val="32"/>
          <w:szCs w:val="32"/>
          <w:highlight w:val="none"/>
        </w:rPr>
        <w:t>%。其中：</w:t>
      </w:r>
      <w:bookmarkEnd w:id="28"/>
      <w:bookmarkEnd w:id="29"/>
      <w:bookmarkEnd w:id="30"/>
    </w:p>
    <w:p w14:paraId="5340AB0E">
      <w:pPr>
        <w:spacing w:line="600" w:lineRule="exact"/>
        <w:ind w:firstLine="643" w:firstLineChars="200"/>
        <w:rPr>
          <w:rStyle w:val="15"/>
          <w:rFonts w:hint="default" w:ascii="Times New Roman" w:hAnsi="Times New Roman" w:eastAsia="仿宋_GB2312" w:cs="Times New Roman"/>
          <w:b w:val="0"/>
          <w:bCs w:val="0"/>
          <w:color w:val="000000"/>
          <w:sz w:val="32"/>
          <w:szCs w:val="32"/>
        </w:rPr>
      </w:pPr>
      <w:r>
        <w:rPr>
          <w:rStyle w:val="15"/>
          <w:rFonts w:hint="eastAsia" w:ascii="仿宋_GB2312" w:hAnsi="仿宋_GB2312" w:eastAsia="仿宋_GB2312" w:cs="仿宋_GB2312"/>
          <w:b/>
          <w:bCs/>
          <w:color w:val="auto"/>
          <w:sz w:val="32"/>
          <w:szCs w:val="32"/>
          <w:highlight w:val="none"/>
        </w:rPr>
        <w:t>1.</w:t>
      </w:r>
      <w:r>
        <w:rPr>
          <w:rStyle w:val="15"/>
          <w:rFonts w:hint="default" w:ascii="Times New Roman" w:hAnsi="Times New Roman" w:eastAsia="仿宋_GB2312" w:cs="Times New Roman"/>
          <w:b/>
          <w:bCs/>
          <w:color w:val="000000"/>
          <w:sz w:val="32"/>
          <w:szCs w:val="32"/>
        </w:rPr>
        <w:t>社会保障和就业（类）</w:t>
      </w:r>
      <w:r>
        <w:rPr>
          <w:rStyle w:val="15"/>
          <w:rFonts w:hint="default" w:ascii="Times New Roman" w:hAnsi="Times New Roman" w:eastAsia="仿宋_GB2312" w:cs="Times New Roman"/>
          <w:b/>
          <w:bCs/>
          <w:color w:val="000000"/>
          <w:sz w:val="32"/>
          <w:szCs w:val="32"/>
          <w:lang w:eastAsia="zh-CN"/>
        </w:rPr>
        <w:t>行政事业单位养老支出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行政单位离退休</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支出决算为</w:t>
      </w:r>
      <w:r>
        <w:rPr>
          <w:rStyle w:val="15"/>
          <w:rFonts w:hint="eastAsia" w:cs="Times New Roman"/>
          <w:b w:val="0"/>
          <w:bCs w:val="0"/>
          <w:color w:val="000000"/>
          <w:sz w:val="32"/>
          <w:szCs w:val="32"/>
          <w:lang w:val="en-US" w:eastAsia="zh-CN"/>
        </w:rPr>
        <w:t>2.63</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0F0E1AC6">
      <w:pPr>
        <w:spacing w:line="600" w:lineRule="exact"/>
        <w:ind w:firstLine="643" w:firstLineChars="200"/>
        <w:rPr>
          <w:rStyle w:val="15"/>
          <w:rFonts w:hint="default" w:ascii="Times New Roman" w:hAnsi="Times New Roman" w:eastAsia="仿宋_GB2312" w:cs="Times New Roman"/>
          <w:b w:val="0"/>
          <w:bCs w:val="0"/>
          <w:color w:val="000000"/>
          <w:sz w:val="32"/>
          <w:szCs w:val="32"/>
        </w:rPr>
      </w:pPr>
      <w:r>
        <w:rPr>
          <w:rStyle w:val="15"/>
          <w:rFonts w:hint="eastAsia" w:cs="Times New Roman"/>
          <w:b/>
          <w:bCs/>
          <w:color w:val="000000"/>
          <w:sz w:val="32"/>
          <w:szCs w:val="32"/>
          <w:lang w:val="en-US" w:eastAsia="zh-CN"/>
        </w:rPr>
        <w:t>2.</w:t>
      </w:r>
      <w:r>
        <w:rPr>
          <w:rStyle w:val="15"/>
          <w:rFonts w:hint="default" w:ascii="Times New Roman" w:hAnsi="Times New Roman" w:eastAsia="仿宋_GB2312" w:cs="Times New Roman"/>
          <w:b/>
          <w:bCs/>
          <w:color w:val="000000"/>
          <w:sz w:val="32"/>
          <w:szCs w:val="32"/>
        </w:rPr>
        <w:t>社会保障和就业（类）</w:t>
      </w:r>
      <w:r>
        <w:rPr>
          <w:rStyle w:val="15"/>
          <w:rFonts w:hint="default" w:ascii="Times New Roman" w:hAnsi="Times New Roman" w:eastAsia="仿宋_GB2312" w:cs="Times New Roman"/>
          <w:b/>
          <w:bCs/>
          <w:color w:val="000000"/>
          <w:sz w:val="32"/>
          <w:szCs w:val="32"/>
          <w:lang w:eastAsia="zh-CN"/>
        </w:rPr>
        <w:t>行政事业单位养老支出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机关事业单位基本养老保险缴费支出</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支出决算为</w:t>
      </w:r>
      <w:r>
        <w:rPr>
          <w:rStyle w:val="15"/>
          <w:rFonts w:hint="eastAsia" w:cs="Times New Roman"/>
          <w:b w:val="0"/>
          <w:bCs w:val="0"/>
          <w:color w:val="000000"/>
          <w:sz w:val="32"/>
          <w:szCs w:val="32"/>
          <w:lang w:val="en-US" w:eastAsia="zh-CN"/>
        </w:rPr>
        <w:t>12.74</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04B430A1">
      <w:pPr>
        <w:spacing w:line="600" w:lineRule="exact"/>
        <w:ind w:firstLine="643" w:firstLineChars="200"/>
        <w:rPr>
          <w:rStyle w:val="15"/>
          <w:rFonts w:hint="eastAsia" w:ascii="Times New Roman" w:hAnsi="Times New Roman" w:eastAsia="仿宋_GB2312" w:cs="Times New Roman"/>
          <w:b w:val="0"/>
          <w:bCs w:val="0"/>
          <w:color w:val="000000"/>
          <w:sz w:val="32"/>
          <w:szCs w:val="32"/>
        </w:rPr>
      </w:pPr>
      <w:r>
        <w:rPr>
          <w:rStyle w:val="15"/>
          <w:rFonts w:hint="eastAsia" w:cs="Times New Roman"/>
          <w:b/>
          <w:bCs/>
          <w:color w:val="000000"/>
          <w:sz w:val="32"/>
          <w:szCs w:val="32"/>
          <w:lang w:val="en-US" w:eastAsia="zh-CN"/>
        </w:rPr>
        <w:t>3.</w:t>
      </w:r>
      <w:r>
        <w:rPr>
          <w:rStyle w:val="15"/>
          <w:rFonts w:hint="default" w:ascii="Times New Roman" w:hAnsi="Times New Roman" w:eastAsia="仿宋_GB2312" w:cs="Times New Roman"/>
          <w:b/>
          <w:bCs/>
          <w:color w:val="000000"/>
          <w:sz w:val="32"/>
          <w:szCs w:val="32"/>
        </w:rPr>
        <w:t>社会保障和就业（类）</w:t>
      </w:r>
      <w:r>
        <w:rPr>
          <w:rStyle w:val="15"/>
          <w:rFonts w:hint="default" w:ascii="Times New Roman" w:hAnsi="Times New Roman" w:eastAsia="仿宋_GB2312" w:cs="Times New Roman"/>
          <w:b/>
          <w:bCs/>
          <w:color w:val="000000"/>
          <w:sz w:val="32"/>
          <w:szCs w:val="32"/>
          <w:lang w:eastAsia="zh-CN"/>
        </w:rPr>
        <w:t>行政事业单位养老支出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机关事业单位职业年金缴费支出</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支出决算为</w:t>
      </w:r>
      <w:r>
        <w:rPr>
          <w:rStyle w:val="15"/>
          <w:rFonts w:hint="eastAsia" w:cs="Times New Roman"/>
          <w:b w:val="0"/>
          <w:bCs w:val="0"/>
          <w:color w:val="000000"/>
          <w:sz w:val="32"/>
          <w:szCs w:val="32"/>
          <w:lang w:val="en-US" w:eastAsia="zh-CN"/>
        </w:rPr>
        <w:t>7.89</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12D7732E">
      <w:pPr>
        <w:spacing w:line="600" w:lineRule="exact"/>
        <w:ind w:firstLine="643" w:firstLineChars="200"/>
        <w:rPr>
          <w:rFonts w:hint="eastAsia" w:ascii="仿宋_GB2312" w:hAnsi="仿宋_GB2312" w:eastAsia="仿宋_GB2312" w:cs="仿宋_GB2312"/>
          <w:b/>
          <w:color w:val="auto"/>
          <w:sz w:val="32"/>
          <w:szCs w:val="32"/>
          <w:highlight w:val="none"/>
        </w:rPr>
      </w:pPr>
      <w:r>
        <w:rPr>
          <w:rStyle w:val="15"/>
          <w:rFonts w:hint="eastAsia" w:ascii="仿宋_GB2312" w:hAnsi="仿宋_GB2312" w:cs="仿宋_GB2312"/>
          <w:bCs/>
          <w:color w:val="auto"/>
          <w:sz w:val="32"/>
          <w:szCs w:val="32"/>
          <w:highlight w:val="none"/>
          <w:lang w:val="en-US" w:eastAsia="zh-CN"/>
        </w:rPr>
        <w:t>4</w:t>
      </w:r>
      <w:r>
        <w:rPr>
          <w:rStyle w:val="15"/>
          <w:rFonts w:hint="eastAsia" w:ascii="仿宋_GB2312" w:hAnsi="仿宋_GB2312" w:eastAsia="仿宋_GB2312" w:cs="仿宋_GB2312"/>
          <w:bCs/>
          <w:color w:val="auto"/>
          <w:sz w:val="32"/>
          <w:szCs w:val="32"/>
          <w:highlight w:val="none"/>
        </w:rPr>
        <w:t>.</w:t>
      </w:r>
      <w:r>
        <w:rPr>
          <w:rStyle w:val="15"/>
          <w:rFonts w:hint="default" w:ascii="Times New Roman" w:hAnsi="Times New Roman" w:eastAsia="仿宋_GB2312" w:cs="Times New Roman"/>
          <w:b/>
          <w:bCs/>
          <w:color w:val="000000"/>
          <w:sz w:val="32"/>
          <w:szCs w:val="32"/>
        </w:rPr>
        <w:t>社会保障和就业（类）</w:t>
      </w:r>
      <w:r>
        <w:rPr>
          <w:rStyle w:val="15"/>
          <w:rFonts w:hint="eastAsia" w:ascii="仿宋_GB2312" w:hAnsi="仿宋_GB2312" w:cs="仿宋_GB2312"/>
          <w:bCs/>
          <w:color w:val="auto"/>
          <w:sz w:val="32"/>
          <w:szCs w:val="32"/>
          <w:highlight w:val="none"/>
          <w:lang w:eastAsia="zh-CN"/>
        </w:rPr>
        <w:t>红十字事业</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行政运行</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107.65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2E57A1B0">
      <w:pPr>
        <w:spacing w:line="600" w:lineRule="exact"/>
        <w:ind w:firstLine="643" w:firstLineChars="200"/>
        <w:rPr>
          <w:rStyle w:val="15"/>
          <w:rFonts w:hint="eastAsia" w:cs="Times New Roman"/>
          <w:b w:val="0"/>
          <w:bCs w:val="0"/>
          <w:color w:val="000000"/>
          <w:sz w:val="32"/>
          <w:szCs w:val="32"/>
          <w:lang w:eastAsia="zh-CN"/>
        </w:rPr>
      </w:pPr>
      <w:r>
        <w:rPr>
          <w:rStyle w:val="15"/>
          <w:rFonts w:hint="eastAsia" w:ascii="仿宋_GB2312" w:hAnsi="仿宋_GB2312" w:cs="仿宋_GB2312"/>
          <w:bCs/>
          <w:color w:val="auto"/>
          <w:sz w:val="32"/>
          <w:szCs w:val="32"/>
          <w:highlight w:val="none"/>
          <w:lang w:val="en-US" w:eastAsia="zh-CN"/>
        </w:rPr>
        <w:t>5</w:t>
      </w:r>
      <w:r>
        <w:rPr>
          <w:rStyle w:val="15"/>
          <w:rFonts w:hint="eastAsia" w:ascii="仿宋_GB2312" w:hAnsi="仿宋_GB2312" w:eastAsia="仿宋_GB2312" w:cs="仿宋_GB2312"/>
          <w:bCs/>
          <w:color w:val="auto"/>
          <w:sz w:val="32"/>
          <w:szCs w:val="32"/>
          <w:highlight w:val="none"/>
        </w:rPr>
        <w:t>.</w:t>
      </w:r>
      <w:r>
        <w:rPr>
          <w:rStyle w:val="15"/>
          <w:rFonts w:hint="default" w:ascii="Times New Roman" w:hAnsi="Times New Roman" w:eastAsia="仿宋_GB2312" w:cs="Times New Roman"/>
          <w:b/>
          <w:bCs/>
          <w:color w:val="000000"/>
          <w:sz w:val="32"/>
          <w:szCs w:val="32"/>
        </w:rPr>
        <w:t>社会保障和就业（类）</w:t>
      </w:r>
      <w:r>
        <w:rPr>
          <w:rStyle w:val="15"/>
          <w:rFonts w:hint="eastAsia" w:ascii="仿宋_GB2312" w:hAnsi="仿宋_GB2312" w:cs="仿宋_GB2312"/>
          <w:bCs/>
          <w:color w:val="auto"/>
          <w:sz w:val="32"/>
          <w:szCs w:val="32"/>
          <w:highlight w:val="none"/>
          <w:lang w:eastAsia="zh-CN"/>
        </w:rPr>
        <w:t>红十字事业</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其他红十字事业支出</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19.09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6F3372C7">
      <w:pPr>
        <w:spacing w:line="600" w:lineRule="exact"/>
        <w:ind w:firstLine="643" w:firstLineChars="200"/>
        <w:rPr>
          <w:rStyle w:val="15"/>
          <w:rFonts w:hint="eastAsia" w:cs="Times New Roman"/>
          <w:b w:val="0"/>
          <w:bCs w:val="0"/>
          <w:color w:val="000000"/>
          <w:sz w:val="32"/>
          <w:szCs w:val="32"/>
          <w:lang w:eastAsia="zh-CN"/>
        </w:rPr>
      </w:pPr>
      <w:r>
        <w:rPr>
          <w:rStyle w:val="15"/>
          <w:rFonts w:hint="eastAsia" w:ascii="仿宋_GB2312" w:hAnsi="仿宋_GB2312" w:cs="仿宋_GB2312"/>
          <w:bCs/>
          <w:color w:val="auto"/>
          <w:sz w:val="32"/>
          <w:szCs w:val="32"/>
          <w:highlight w:val="none"/>
          <w:lang w:val="en-US" w:eastAsia="zh-CN"/>
        </w:rPr>
        <w:t>6</w:t>
      </w:r>
      <w:r>
        <w:rPr>
          <w:rStyle w:val="15"/>
          <w:rFonts w:hint="eastAsia" w:ascii="仿宋_GB2312" w:hAnsi="仿宋_GB2312" w:eastAsia="仿宋_GB2312" w:cs="仿宋_GB2312"/>
          <w:bCs/>
          <w:color w:val="auto"/>
          <w:sz w:val="32"/>
          <w:szCs w:val="32"/>
          <w:highlight w:val="none"/>
        </w:rPr>
        <w:t>.</w:t>
      </w:r>
      <w:r>
        <w:rPr>
          <w:rStyle w:val="15"/>
          <w:rFonts w:hint="eastAsia" w:cs="Times New Roman"/>
          <w:b/>
          <w:bCs/>
          <w:color w:val="000000"/>
          <w:sz w:val="32"/>
          <w:szCs w:val="32"/>
          <w:lang w:eastAsia="zh-CN"/>
        </w:rPr>
        <w:t>卫生健康支出</w:t>
      </w:r>
      <w:r>
        <w:rPr>
          <w:rStyle w:val="15"/>
          <w:rFonts w:hint="default" w:ascii="Times New Roman" w:hAnsi="Times New Roman" w:eastAsia="仿宋_GB2312" w:cs="Times New Roman"/>
          <w:b/>
          <w:bCs/>
          <w:color w:val="000000"/>
          <w:sz w:val="32"/>
          <w:szCs w:val="32"/>
        </w:rPr>
        <w:t>（类）</w:t>
      </w:r>
      <w:r>
        <w:rPr>
          <w:rStyle w:val="15"/>
          <w:rFonts w:hint="eastAsia" w:ascii="仿宋_GB2312" w:hAnsi="仿宋_GB2312" w:cs="仿宋_GB2312"/>
          <w:bCs/>
          <w:color w:val="auto"/>
          <w:sz w:val="32"/>
          <w:szCs w:val="32"/>
          <w:highlight w:val="none"/>
          <w:lang w:eastAsia="zh-CN"/>
        </w:rPr>
        <w:t>行政事业单位医疗</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行政单位医疗</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8.01</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02456DD1">
      <w:pPr>
        <w:spacing w:line="600" w:lineRule="exact"/>
        <w:ind w:firstLine="643" w:firstLineChars="200"/>
        <w:rPr>
          <w:rStyle w:val="15"/>
          <w:rFonts w:hint="eastAsia" w:cs="Times New Roman"/>
          <w:b w:val="0"/>
          <w:bCs w:val="0"/>
          <w:color w:val="000000"/>
          <w:sz w:val="32"/>
          <w:szCs w:val="32"/>
          <w:lang w:eastAsia="zh-CN"/>
        </w:rPr>
      </w:pPr>
      <w:r>
        <w:rPr>
          <w:rStyle w:val="15"/>
          <w:rFonts w:hint="eastAsia" w:ascii="仿宋_GB2312" w:hAnsi="仿宋_GB2312" w:cs="仿宋_GB2312"/>
          <w:bCs/>
          <w:color w:val="auto"/>
          <w:sz w:val="32"/>
          <w:szCs w:val="32"/>
          <w:highlight w:val="none"/>
          <w:lang w:val="en-US" w:eastAsia="zh-CN"/>
        </w:rPr>
        <w:t>7</w:t>
      </w:r>
      <w:r>
        <w:rPr>
          <w:rStyle w:val="15"/>
          <w:rFonts w:hint="eastAsia" w:ascii="仿宋_GB2312" w:hAnsi="仿宋_GB2312" w:eastAsia="仿宋_GB2312" w:cs="仿宋_GB2312"/>
          <w:bCs/>
          <w:color w:val="auto"/>
          <w:sz w:val="32"/>
          <w:szCs w:val="32"/>
          <w:highlight w:val="none"/>
        </w:rPr>
        <w:t>.</w:t>
      </w:r>
      <w:r>
        <w:rPr>
          <w:rStyle w:val="15"/>
          <w:rFonts w:hint="eastAsia" w:cs="Times New Roman"/>
          <w:b/>
          <w:bCs/>
          <w:color w:val="000000"/>
          <w:sz w:val="32"/>
          <w:szCs w:val="32"/>
          <w:lang w:eastAsia="zh-CN"/>
        </w:rPr>
        <w:t>卫生健康支出</w:t>
      </w:r>
      <w:r>
        <w:rPr>
          <w:rStyle w:val="15"/>
          <w:rFonts w:hint="default" w:ascii="Times New Roman" w:hAnsi="Times New Roman" w:eastAsia="仿宋_GB2312" w:cs="Times New Roman"/>
          <w:b/>
          <w:bCs/>
          <w:color w:val="000000"/>
          <w:sz w:val="32"/>
          <w:szCs w:val="32"/>
        </w:rPr>
        <w:t>（类）</w:t>
      </w:r>
      <w:r>
        <w:rPr>
          <w:rStyle w:val="15"/>
          <w:rFonts w:hint="eastAsia" w:ascii="仿宋_GB2312" w:hAnsi="仿宋_GB2312" w:cs="仿宋_GB2312"/>
          <w:bCs/>
          <w:color w:val="auto"/>
          <w:sz w:val="32"/>
          <w:szCs w:val="32"/>
          <w:highlight w:val="none"/>
          <w:lang w:eastAsia="zh-CN"/>
        </w:rPr>
        <w:t>行政事业单位医疗</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cs="仿宋_GB2312"/>
          <w:bCs/>
          <w:color w:val="auto"/>
          <w:sz w:val="32"/>
          <w:szCs w:val="32"/>
          <w:highlight w:val="none"/>
          <w:lang w:eastAsia="zh-CN"/>
        </w:rPr>
        <w:t>公务员医疗补助</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cs="仿宋_GB2312"/>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cs="仿宋_GB2312"/>
          <w:b w:val="0"/>
          <w:bCs/>
          <w:color w:val="auto"/>
          <w:sz w:val="32"/>
          <w:szCs w:val="32"/>
          <w:highlight w:val="none"/>
          <w:lang w:val="en-US" w:eastAsia="zh-CN"/>
        </w:rPr>
        <w:t>0.9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eastAsia" w:cs="Times New Roman"/>
          <w:b w:val="0"/>
          <w:bCs w:val="0"/>
          <w:color w:val="000000"/>
          <w:sz w:val="32"/>
          <w:szCs w:val="32"/>
          <w:lang w:eastAsia="zh-CN"/>
        </w:rPr>
        <w:t>。</w:t>
      </w:r>
    </w:p>
    <w:p w14:paraId="1C661DF8">
      <w:pPr>
        <w:keepNext w:val="0"/>
        <w:keepLines w:val="0"/>
        <w:pageBreakBefore w:val="0"/>
        <w:widowControl w:val="0"/>
        <w:kinsoku/>
        <w:wordWrap/>
        <w:overflowPunct/>
        <w:topLinePunct w:val="0"/>
        <w:bidi w:val="0"/>
        <w:snapToGrid/>
        <w:spacing w:line="580" w:lineRule="exact"/>
        <w:ind w:firstLine="643" w:firstLineChars="200"/>
        <w:textAlignment w:val="auto"/>
        <w:rPr>
          <w:rFonts w:ascii="仿宋" w:hAnsi="仿宋" w:eastAsia="仿宋"/>
          <w:b/>
          <w:color w:val="000000"/>
          <w:sz w:val="32"/>
          <w:szCs w:val="32"/>
        </w:rPr>
      </w:pPr>
      <w:r>
        <w:rPr>
          <w:rFonts w:hint="eastAsia" w:cs="Times New Roman"/>
          <w:b/>
          <w:bCs/>
          <w:color w:val="000000"/>
          <w:sz w:val="32"/>
          <w:szCs w:val="32"/>
          <w:lang w:val="en-US" w:eastAsia="zh-CN"/>
        </w:rPr>
        <w:t>8</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000000"/>
          <w:sz w:val="32"/>
          <w:szCs w:val="32"/>
          <w:lang w:eastAsia="zh-CN"/>
        </w:rPr>
        <w:t>住房保障支出</w:t>
      </w:r>
      <w:r>
        <w:rPr>
          <w:rStyle w:val="15"/>
          <w:rFonts w:hint="default" w:ascii="Times New Roman" w:hAnsi="Times New Roman" w:eastAsia="仿宋_GB2312" w:cs="Times New Roman"/>
          <w:b/>
          <w:bCs/>
          <w:color w:val="000000"/>
          <w:sz w:val="32"/>
          <w:szCs w:val="32"/>
        </w:rPr>
        <w:t>（类）</w:t>
      </w:r>
      <w:r>
        <w:rPr>
          <w:rStyle w:val="15"/>
          <w:rFonts w:hint="default" w:ascii="Times New Roman" w:hAnsi="Times New Roman" w:eastAsia="仿宋_GB2312" w:cs="Times New Roman"/>
          <w:b/>
          <w:bCs/>
          <w:color w:val="000000"/>
          <w:sz w:val="32"/>
          <w:szCs w:val="32"/>
          <w:lang w:eastAsia="zh-CN"/>
        </w:rPr>
        <w:t>住房改革支出</w:t>
      </w:r>
      <w:r>
        <w:rPr>
          <w:rStyle w:val="15"/>
          <w:rFonts w:hint="default" w:ascii="Times New Roman" w:hAnsi="Times New Roman" w:eastAsia="仿宋_GB2312" w:cs="Times New Roman"/>
          <w:b/>
          <w:bCs/>
          <w:color w:val="000000"/>
          <w:sz w:val="32"/>
          <w:szCs w:val="32"/>
        </w:rPr>
        <w:t>（款）</w:t>
      </w:r>
      <w:r>
        <w:rPr>
          <w:rStyle w:val="15"/>
          <w:rFonts w:hint="default" w:ascii="Times New Roman" w:hAnsi="Times New Roman" w:eastAsia="仿宋_GB2312" w:cs="Times New Roman"/>
          <w:b/>
          <w:bCs/>
          <w:color w:val="000000"/>
          <w:sz w:val="32"/>
          <w:szCs w:val="32"/>
          <w:lang w:eastAsia="zh-CN"/>
        </w:rPr>
        <w:t>住房公积金</w:t>
      </w:r>
      <w:r>
        <w:rPr>
          <w:rStyle w:val="15"/>
          <w:rFonts w:hint="default" w:ascii="Times New Roman" w:hAnsi="Times New Roman" w:eastAsia="仿宋_GB2312" w:cs="Times New Roman"/>
          <w:b/>
          <w:bCs/>
          <w:color w:val="000000"/>
          <w:sz w:val="32"/>
          <w:szCs w:val="32"/>
        </w:rPr>
        <w:t>（项）</w:t>
      </w:r>
      <w:r>
        <w:rPr>
          <w:rStyle w:val="15"/>
          <w:rFonts w:hint="eastAsia" w:cs="Times New Roman"/>
          <w:b/>
          <w:bCs/>
          <w:color w:val="000000"/>
          <w:sz w:val="32"/>
          <w:szCs w:val="32"/>
          <w:lang w:eastAsia="zh-CN"/>
        </w:rPr>
        <w:t>：</w:t>
      </w:r>
      <w:r>
        <w:rPr>
          <w:rStyle w:val="15"/>
          <w:rFonts w:hint="default" w:ascii="Times New Roman" w:hAnsi="Times New Roman" w:eastAsia="仿宋_GB2312" w:cs="Times New Roman"/>
          <w:b w:val="0"/>
          <w:bCs w:val="0"/>
          <w:color w:val="000000"/>
          <w:sz w:val="32"/>
          <w:szCs w:val="32"/>
        </w:rPr>
        <w:t>支出决算为</w:t>
      </w:r>
      <w:r>
        <w:rPr>
          <w:rStyle w:val="15"/>
          <w:rFonts w:hint="eastAsia" w:cs="Times New Roman"/>
          <w:b w:val="0"/>
          <w:bCs w:val="0"/>
          <w:color w:val="000000"/>
          <w:sz w:val="32"/>
          <w:szCs w:val="32"/>
          <w:lang w:val="en-US" w:eastAsia="zh-CN"/>
        </w:rPr>
        <w:t>11.36</w:t>
      </w:r>
      <w:r>
        <w:rPr>
          <w:rStyle w:val="15"/>
          <w:rFonts w:hint="default" w:ascii="Times New Roman" w:hAnsi="Times New Roman" w:eastAsia="仿宋_GB2312" w:cs="Times New Roman"/>
          <w:b w:val="0"/>
          <w:bCs w:val="0"/>
          <w:color w:val="000000"/>
          <w:sz w:val="32"/>
          <w:szCs w:val="32"/>
        </w:rPr>
        <w:t>万元，完成预算</w:t>
      </w:r>
      <w:r>
        <w:rPr>
          <w:rStyle w:val="15"/>
          <w:rFonts w:hint="default" w:ascii="Times New Roman" w:hAnsi="Times New Roman" w:eastAsia="仿宋_GB2312" w:cs="Times New Roman"/>
          <w:b w:val="0"/>
          <w:bCs w:val="0"/>
          <w:color w:val="000000"/>
          <w:sz w:val="32"/>
          <w:szCs w:val="32"/>
          <w:lang w:val="en-US" w:eastAsia="zh-CN"/>
        </w:rPr>
        <w:t>100</w:t>
      </w:r>
      <w:r>
        <w:rPr>
          <w:rStyle w:val="15"/>
          <w:rFonts w:hint="default" w:ascii="Times New Roman" w:hAnsi="Times New Roman" w:eastAsia="仿宋_GB2312" w:cs="Times New Roman"/>
          <w:b w:val="0"/>
          <w:bCs w:val="0"/>
          <w:color w:val="000000"/>
          <w:sz w:val="32"/>
          <w:szCs w:val="32"/>
        </w:rPr>
        <w:t>%，</w:t>
      </w:r>
      <w:r>
        <w:rPr>
          <w:rStyle w:val="15"/>
          <w:rFonts w:hint="default" w:ascii="Times New Roman" w:hAnsi="Times New Roman" w:eastAsia="仿宋_GB2312" w:cs="Times New Roman"/>
          <w:b w:val="0"/>
          <w:bCs w:val="0"/>
          <w:color w:val="000000"/>
          <w:sz w:val="32"/>
          <w:szCs w:val="32"/>
          <w:lang w:eastAsia="zh-CN"/>
        </w:rPr>
        <w:t>与预算数持平</w:t>
      </w:r>
      <w:r>
        <w:rPr>
          <w:rStyle w:val="15"/>
          <w:rFonts w:hint="default" w:ascii="Times New Roman" w:hAnsi="Times New Roman" w:eastAsia="仿宋_GB2312" w:cs="Times New Roman"/>
          <w:b w:val="0"/>
          <w:bCs w:val="0"/>
          <w:color w:val="000000"/>
          <w:sz w:val="32"/>
          <w:szCs w:val="32"/>
        </w:rPr>
        <w:t>。</w:t>
      </w:r>
    </w:p>
    <w:p w14:paraId="1A6C8C2C">
      <w:pPr>
        <w:tabs>
          <w:tab w:val="right" w:pos="8306"/>
        </w:tabs>
        <w:spacing w:line="600" w:lineRule="exact"/>
        <w:ind w:firstLine="640"/>
        <w:outlineLvl w:val="1"/>
        <w:rPr>
          <w:rStyle w:val="18"/>
        </w:rPr>
      </w:pPr>
      <w:bookmarkStart w:id="31" w:name="_Toc15377214"/>
      <w:bookmarkStart w:id="32" w:name="_Toc15396608"/>
      <w:bookmarkStart w:id="33" w:name="_Toc3138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1"/>
      <w:bookmarkEnd w:id="32"/>
      <w:bookmarkEnd w:id="33"/>
      <w:r>
        <w:rPr>
          <w:rStyle w:val="18"/>
          <w:rFonts w:ascii="黑体" w:hAnsi="黑体" w:eastAsia="黑体"/>
          <w:b w:val="0"/>
        </w:rPr>
        <w:tab/>
      </w:r>
    </w:p>
    <w:p w14:paraId="2D0464C4">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一般公共预算财政拨款基本支出</w:t>
      </w:r>
      <w:r>
        <w:rPr>
          <w:rFonts w:hint="eastAsia" w:ascii="仿宋_GB2312" w:hAnsi="仿宋_GB2312" w:cs="仿宋_GB2312"/>
          <w:color w:val="auto"/>
          <w:sz w:val="32"/>
          <w:szCs w:val="32"/>
          <w:highlight w:val="none"/>
          <w:lang w:val="en-US" w:eastAsia="zh-CN"/>
        </w:rPr>
        <w:t>151.17</w:t>
      </w:r>
      <w:r>
        <w:rPr>
          <w:rFonts w:hint="eastAsia" w:ascii="仿宋_GB2312" w:hAnsi="仿宋_GB2312" w:eastAsia="仿宋_GB2312" w:cs="仿宋_GB2312"/>
          <w:color w:val="auto"/>
          <w:sz w:val="32"/>
          <w:szCs w:val="32"/>
          <w:highlight w:val="none"/>
        </w:rPr>
        <w:t>万元，其中：</w:t>
      </w:r>
    </w:p>
    <w:p w14:paraId="12204274">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cs="仿宋_GB2312"/>
          <w:color w:val="auto"/>
          <w:sz w:val="32"/>
          <w:szCs w:val="32"/>
          <w:highlight w:val="none"/>
          <w:lang w:val="en-US" w:eastAsia="zh-CN"/>
        </w:rPr>
        <w:t>131.94</w:t>
      </w:r>
      <w:r>
        <w:rPr>
          <w:rFonts w:hint="eastAsia" w:ascii="仿宋_GB2312" w:hAnsi="仿宋_GB2312" w:eastAsia="仿宋_GB2312" w:cs="仿宋_GB2312"/>
          <w:color w:val="auto"/>
          <w:sz w:val="32"/>
          <w:szCs w:val="32"/>
          <w:highlight w:val="none"/>
        </w:rPr>
        <w:t>万元，主要包括：基本工资、津贴补贴、奖金、机关事业单位基本养老保险缴费、职业年金缴费</w:t>
      </w:r>
      <w:r>
        <w:rPr>
          <w:rFonts w:hint="eastAsia" w:ascii="仿宋_GB2312" w:hAnsi="仿宋_GB2312" w:cs="仿宋_GB2312"/>
          <w:color w:val="auto"/>
          <w:sz w:val="32"/>
          <w:szCs w:val="32"/>
          <w:highlight w:val="none"/>
          <w:lang w:eastAsia="zh-CN"/>
        </w:rPr>
        <w:t>、</w:t>
      </w:r>
      <w:r>
        <w:rPr>
          <w:rFonts w:hint="default" w:ascii="Times New Roman" w:hAnsi="Times New Roman" w:eastAsia="仿宋_GB2312" w:cs="Times New Roman"/>
          <w:color w:val="000000"/>
          <w:sz w:val="32"/>
          <w:szCs w:val="32"/>
          <w:lang w:eastAsia="zh-CN"/>
        </w:rPr>
        <w:t>职工基本医疗保险缴费、</w:t>
      </w:r>
      <w:r>
        <w:rPr>
          <w:rFonts w:hint="eastAsia" w:cs="Times New Roman"/>
          <w:color w:val="000000"/>
          <w:sz w:val="32"/>
          <w:szCs w:val="32"/>
          <w:lang w:eastAsia="zh-CN"/>
        </w:rPr>
        <w:t>公务员医疗补助缴费、</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cs="仿宋_GB2312"/>
          <w:color w:val="auto"/>
          <w:sz w:val="32"/>
          <w:szCs w:val="32"/>
          <w:highlight w:val="none"/>
          <w:lang w:eastAsia="zh-CN"/>
        </w:rPr>
        <w:t>住房公积金、退休费</w:t>
      </w:r>
      <w:r>
        <w:rPr>
          <w:rFonts w:hint="eastAsia" w:ascii="仿宋_GB2312" w:hAnsi="仿宋_GB2312" w:eastAsia="仿宋_GB2312" w:cs="仿宋_GB2312"/>
          <w:color w:val="auto"/>
          <w:sz w:val="32"/>
          <w:szCs w:val="32"/>
          <w:highlight w:val="none"/>
        </w:rPr>
        <w:t>等。</w:t>
      </w:r>
    </w:p>
    <w:p w14:paraId="1E1EBF91">
      <w:pPr>
        <w:spacing w:line="600" w:lineRule="exact"/>
        <w:ind w:firstLine="645"/>
        <w:rPr>
          <w:rFonts w:ascii="仿宋" w:hAnsi="仿宋" w:eastAsia="仿宋"/>
          <w:b/>
          <w:color w:val="FF0000"/>
          <w:sz w:val="32"/>
          <w:szCs w:val="32"/>
        </w:rPr>
      </w:pPr>
      <w:r>
        <w:rPr>
          <w:rFonts w:hint="eastAsia" w:ascii="仿宋_GB2312" w:hAnsi="仿宋_GB2312" w:eastAsia="仿宋_GB2312" w:cs="仿宋_GB2312"/>
          <w:color w:val="auto"/>
          <w:sz w:val="32"/>
          <w:szCs w:val="32"/>
          <w:highlight w:val="none"/>
        </w:rPr>
        <w:t>公用经费</w:t>
      </w:r>
      <w:r>
        <w:rPr>
          <w:rFonts w:hint="eastAsia" w:ascii="仿宋_GB2312" w:hAnsi="仿宋_GB2312" w:cs="仿宋_GB2312"/>
          <w:color w:val="auto"/>
          <w:sz w:val="32"/>
          <w:szCs w:val="32"/>
          <w:highlight w:val="none"/>
          <w:lang w:val="en-US" w:eastAsia="zh-CN"/>
        </w:rPr>
        <w:t>19.23</w:t>
      </w:r>
      <w:r>
        <w:rPr>
          <w:rFonts w:hint="eastAsia" w:ascii="仿宋_GB2312" w:hAnsi="仿宋_GB2312" w:eastAsia="仿宋_GB2312" w:cs="仿宋_GB2312"/>
          <w:color w:val="auto"/>
          <w:sz w:val="32"/>
          <w:szCs w:val="32"/>
          <w:highlight w:val="none"/>
        </w:rPr>
        <w:t>万元，主要包括：办公费、印刷费、水费、邮电费、物业管理费、差旅费、维修（护）费、租赁费、会议费、培训费、公务接待费、劳务费、委托业务费、工会经费、公务用车运行维护费、其他交通费、其他商品和服务支出等。</w:t>
      </w:r>
    </w:p>
    <w:p w14:paraId="1E519EB9">
      <w:pPr>
        <w:spacing w:line="600" w:lineRule="exact"/>
        <w:ind w:firstLine="640"/>
        <w:outlineLvl w:val="1"/>
        <w:rPr>
          <w:rStyle w:val="18"/>
          <w:rFonts w:ascii="黑体" w:hAnsi="黑体" w:eastAsia="黑体"/>
          <w:b w:val="0"/>
        </w:rPr>
      </w:pPr>
      <w:bookmarkStart w:id="34" w:name="_Toc15396609"/>
      <w:bookmarkStart w:id="35" w:name="_Toc15377215"/>
      <w:bookmarkStart w:id="36" w:name="_Toc19233"/>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4"/>
      <w:bookmarkEnd w:id="35"/>
      <w:bookmarkEnd w:id="36"/>
    </w:p>
    <w:p w14:paraId="02DCAE7C">
      <w:pPr>
        <w:spacing w:line="600" w:lineRule="exact"/>
        <w:ind w:firstLine="640"/>
        <w:outlineLvl w:val="2"/>
        <w:rPr>
          <w:rFonts w:hint="eastAsia" w:ascii="仿宋_GB2312" w:hAnsi="仿宋_GB2312" w:eastAsia="仿宋_GB2312" w:cs="仿宋_GB2312"/>
          <w:b/>
          <w:color w:val="000000"/>
          <w:sz w:val="32"/>
          <w:szCs w:val="32"/>
        </w:rPr>
      </w:pPr>
      <w:bookmarkStart w:id="37" w:name="_Toc15377216"/>
      <w:r>
        <w:rPr>
          <w:rFonts w:hint="eastAsia" w:ascii="仿宋_GB2312" w:hAnsi="仿宋_GB2312" w:eastAsia="仿宋_GB2312" w:cs="仿宋_GB2312"/>
          <w:b/>
          <w:color w:val="000000"/>
          <w:sz w:val="32"/>
          <w:szCs w:val="32"/>
        </w:rPr>
        <w:t>（一）“三公”经费财政拨款支出决算总体情况说明</w:t>
      </w:r>
      <w:bookmarkEnd w:id="37"/>
    </w:p>
    <w:p w14:paraId="705E9142">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“三公”经费财政拨款支出决算为</w:t>
      </w:r>
      <w:r>
        <w:rPr>
          <w:rFonts w:hint="eastAsia" w:ascii="仿宋_GB2312" w:hAnsi="仿宋_GB2312" w:cs="仿宋_GB2312"/>
          <w:color w:val="auto"/>
          <w:sz w:val="32"/>
          <w:szCs w:val="32"/>
          <w:highlight w:val="none"/>
          <w:lang w:val="en-US" w:eastAsia="zh-CN"/>
        </w:rPr>
        <w:t>0.89</w:t>
      </w:r>
      <w:r>
        <w:rPr>
          <w:rFonts w:hint="eastAsia" w:ascii="仿宋_GB2312" w:hAnsi="仿宋_GB2312" w:eastAsia="仿宋_GB2312" w:cs="仿宋_GB2312"/>
          <w:color w:val="auto"/>
          <w:sz w:val="32"/>
          <w:szCs w:val="32"/>
          <w:highlight w:val="none"/>
        </w:rPr>
        <w:t>万元，完成预算</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较上年增加</w:t>
      </w:r>
      <w:r>
        <w:rPr>
          <w:rFonts w:hint="eastAsia" w:ascii="仿宋_GB2312" w:hAnsi="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lang w:val="en-US" w:eastAsia="zh-CN"/>
        </w:rPr>
        <w:t>万元，增长</w:t>
      </w:r>
      <w:r>
        <w:rPr>
          <w:rFonts w:hint="eastAsia" w:ascii="仿宋_GB2312" w:hAnsi="仿宋_GB2312" w:cs="仿宋_GB2312"/>
          <w:color w:val="auto"/>
          <w:sz w:val="32"/>
          <w:szCs w:val="32"/>
          <w:highlight w:val="none"/>
          <w:lang w:val="en-US" w:eastAsia="zh-CN"/>
        </w:rPr>
        <w:t>368.42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val="en-US" w:eastAsia="zh-CN"/>
        </w:rPr>
        <w:t>2023年新增一辆公务用车，增加了公务用车运行维护费支出</w:t>
      </w:r>
      <w:r>
        <w:rPr>
          <w:rFonts w:hint="eastAsia" w:ascii="仿宋_GB2312" w:hAnsi="仿宋_GB2312" w:eastAsia="仿宋_GB2312" w:cs="仿宋_GB2312"/>
          <w:color w:val="auto"/>
          <w:sz w:val="32"/>
          <w:szCs w:val="32"/>
          <w:highlight w:val="none"/>
        </w:rPr>
        <w:t>。</w:t>
      </w:r>
    </w:p>
    <w:p w14:paraId="2F70BD91">
      <w:pPr>
        <w:spacing w:line="600" w:lineRule="exact"/>
        <w:ind w:firstLine="640"/>
        <w:outlineLvl w:val="2"/>
        <w:rPr>
          <w:rFonts w:hint="eastAsia" w:ascii="仿宋_GB2312" w:hAnsi="仿宋_GB2312" w:eastAsia="仿宋_GB2312" w:cs="仿宋_GB2312"/>
          <w:b/>
          <w:color w:val="000000"/>
          <w:sz w:val="32"/>
          <w:szCs w:val="32"/>
        </w:rPr>
      </w:pPr>
      <w:bookmarkStart w:id="38" w:name="_Toc15377217"/>
      <w:r>
        <w:rPr>
          <w:rFonts w:hint="eastAsia" w:ascii="仿宋_GB2312" w:hAnsi="仿宋_GB2312" w:eastAsia="仿宋_GB2312" w:cs="仿宋_GB2312"/>
          <w:b/>
          <w:color w:val="000000"/>
          <w:sz w:val="32"/>
          <w:szCs w:val="32"/>
        </w:rPr>
        <w:t>（二）“三公”经费财政拨款支出决算具体情况说明</w:t>
      </w:r>
      <w:bookmarkEnd w:id="38"/>
    </w:p>
    <w:p w14:paraId="0415A67E">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57.3</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cs="仿宋_GB2312"/>
          <w:color w:val="auto"/>
          <w:sz w:val="32"/>
          <w:szCs w:val="32"/>
          <w:highlight w:val="none"/>
          <w:lang w:val="en-US" w:eastAsia="zh-CN"/>
        </w:rPr>
        <w:t>0.38</w:t>
      </w:r>
      <w:r>
        <w:rPr>
          <w:rFonts w:hint="eastAsia" w:ascii="仿宋_GB2312" w:hAnsi="仿宋_GB2312" w:eastAsia="仿宋_GB2312" w:cs="仿宋_GB2312"/>
          <w:color w:val="auto"/>
          <w:sz w:val="32"/>
          <w:szCs w:val="32"/>
          <w:highlight w:val="none"/>
        </w:rPr>
        <w:t>万元，占</w:t>
      </w:r>
      <w:r>
        <w:rPr>
          <w:rFonts w:hint="eastAsia" w:ascii="仿宋_GB2312" w:hAnsi="仿宋_GB2312" w:cs="仿宋_GB2312"/>
          <w:color w:val="auto"/>
          <w:sz w:val="32"/>
          <w:szCs w:val="32"/>
          <w:highlight w:val="none"/>
          <w:lang w:val="en-US" w:eastAsia="zh-CN"/>
        </w:rPr>
        <w:t>42.7</w:t>
      </w:r>
      <w:r>
        <w:rPr>
          <w:rFonts w:hint="eastAsia" w:ascii="仿宋_GB2312" w:hAnsi="仿宋_GB2312" w:eastAsia="仿宋_GB2312" w:cs="仿宋_GB2312"/>
          <w:color w:val="auto"/>
          <w:sz w:val="32"/>
          <w:szCs w:val="32"/>
          <w:highlight w:val="none"/>
        </w:rPr>
        <w:t>%。具体情况如下：</w:t>
      </w:r>
    </w:p>
    <w:p w14:paraId="51DB2F47">
      <w:pPr>
        <w:spacing w:line="600" w:lineRule="exact"/>
        <w:ind w:firstLine="64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图7：“三公”经费财政拨款支出结构</w:t>
      </w:r>
      <w:r>
        <w:rPr>
          <w:rFonts w:hint="eastAsia" w:ascii="仿宋_GB2312" w:hAnsi="仿宋_GB2312" w:cs="仿宋_GB2312"/>
          <w:b/>
          <w:bCs/>
          <w:color w:val="auto"/>
          <w:sz w:val="32"/>
          <w:szCs w:val="32"/>
          <w:highlight w:val="none"/>
          <w:lang w:eastAsia="zh-CN"/>
        </w:rPr>
        <w:t>图</w:t>
      </w:r>
      <w:r>
        <w:drawing>
          <wp:anchor distT="0" distB="0" distL="114300" distR="114300" simplePos="0" relativeHeight="251667456" behindDoc="0" locked="0" layoutInCell="1" allowOverlap="1">
            <wp:simplePos x="0" y="0"/>
            <wp:positionH relativeFrom="column">
              <wp:posOffset>20320</wp:posOffset>
            </wp:positionH>
            <wp:positionV relativeFrom="paragraph">
              <wp:posOffset>108585</wp:posOffset>
            </wp:positionV>
            <wp:extent cx="5200650" cy="2743200"/>
            <wp:effectExtent l="4445" t="4445" r="14605" b="14605"/>
            <wp:wrapTopAndBottom/>
            <wp:docPr id="8"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20A0530">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人。因公出国（境）支出决算</w:t>
      </w:r>
      <w:r>
        <w:rPr>
          <w:rFonts w:hint="eastAsia" w:ascii="仿宋_GB2312" w:hAnsi="仿宋_GB2312" w:cs="仿宋_GB2312"/>
          <w:color w:val="auto"/>
          <w:sz w:val="32"/>
          <w:szCs w:val="32"/>
          <w:highlight w:val="none"/>
          <w:lang w:eastAsia="zh-CN"/>
        </w:rPr>
        <w:t>与2022年持平。</w:t>
      </w:r>
    </w:p>
    <w:p w14:paraId="4A150E80">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val="en-US" w:eastAsia="zh-CN"/>
        </w:rPr>
        <w:t>2023年新增一辆公务用车（2022年及以前无公务用车），增加了公务用车运行维护费支出</w:t>
      </w:r>
      <w:r>
        <w:rPr>
          <w:rFonts w:hint="eastAsia" w:ascii="仿宋_GB2312" w:hAnsi="仿宋_GB2312" w:eastAsia="仿宋_GB2312" w:cs="仿宋_GB2312"/>
          <w:color w:val="auto"/>
          <w:sz w:val="32"/>
          <w:szCs w:val="32"/>
          <w:highlight w:val="none"/>
        </w:rPr>
        <w:t>。</w:t>
      </w:r>
    </w:p>
    <w:p w14:paraId="01790AB7">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cs="仿宋_GB2312"/>
          <w:color w:val="auto"/>
          <w:sz w:val="32"/>
          <w:szCs w:val="32"/>
          <w:highlight w:val="none"/>
          <w:lang w:eastAsia="zh-CN"/>
        </w:rPr>
        <w:t>公务用车购置支出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w:t>
      </w:r>
      <w:r>
        <w:rPr>
          <w:rFonts w:hint="eastAsia" w:ascii="仿宋_GB2312" w:hAnsi="仿宋_GB2312" w:cs="仿宋_GB2312"/>
          <w:color w:val="auto"/>
          <w:sz w:val="32"/>
          <w:szCs w:val="32"/>
          <w:highlight w:val="none"/>
          <w:lang w:eastAsia="zh-CN"/>
        </w:rPr>
        <w:t>当年新增的</w:t>
      </w:r>
      <w:r>
        <w:rPr>
          <w:rFonts w:hint="eastAsia" w:ascii="仿宋_GB2312" w:hAnsi="仿宋_GB2312" w:cs="仿宋_GB2312"/>
          <w:color w:val="auto"/>
          <w:sz w:val="32"/>
          <w:szCs w:val="32"/>
          <w:highlight w:val="none"/>
          <w:lang w:val="en-US" w:eastAsia="zh-CN"/>
        </w:rPr>
        <w:t>1辆公务用车</w:t>
      </w:r>
      <w:r>
        <w:rPr>
          <w:rFonts w:hint="eastAsia" w:ascii="仿宋_GB2312" w:hAnsi="仿宋_GB2312" w:cs="仿宋_GB2312"/>
          <w:color w:val="auto"/>
          <w:sz w:val="32"/>
          <w:szCs w:val="32"/>
          <w:highlight w:val="none"/>
          <w:lang w:eastAsia="zh-CN"/>
        </w:rPr>
        <w:t>为省红十字会调拨车辆。</w:t>
      </w:r>
      <w:r>
        <w:rPr>
          <w:rFonts w:hint="eastAsia" w:ascii="仿宋_GB2312" w:hAnsi="仿宋_GB2312" w:eastAsia="仿宋_GB2312" w:cs="仿宋_GB2312"/>
          <w:color w:val="auto"/>
          <w:sz w:val="32"/>
          <w:szCs w:val="32"/>
          <w:highlight w:val="none"/>
        </w:rPr>
        <w:t>截至</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12月底，单位共有公务用车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辆，其中：越野车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p>
    <w:p w14:paraId="15A8F364">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公务用车运行维护费支出</w:t>
      </w:r>
      <w:r>
        <w:rPr>
          <w:rFonts w:hint="eastAsia" w:ascii="仿宋_GB2312" w:hAnsi="仿宋_GB2312" w:cs="仿宋_GB2312"/>
          <w:color w:val="auto"/>
          <w:sz w:val="32"/>
          <w:szCs w:val="32"/>
          <w:highlight w:val="none"/>
          <w:lang w:val="en-US" w:eastAsia="zh-CN"/>
        </w:rPr>
        <w:t>0.51</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红十字开展应急救灾救援</w:t>
      </w:r>
      <w:r>
        <w:rPr>
          <w:rFonts w:hint="eastAsia" w:ascii="仿宋_GB2312" w:hAnsi="仿宋_GB2312" w:eastAsia="仿宋_GB2312" w:cs="仿宋_GB2312"/>
          <w:color w:val="auto"/>
          <w:sz w:val="32"/>
          <w:szCs w:val="32"/>
          <w:highlight w:val="none"/>
        </w:rPr>
        <w:t>所需的公务用车燃料费、过路过桥费、保险费等支出。</w:t>
      </w:r>
    </w:p>
    <w:p w14:paraId="43DB2EA2">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cs="仿宋_GB2312"/>
          <w:b/>
          <w:color w:val="auto"/>
          <w:sz w:val="32"/>
          <w:szCs w:val="32"/>
          <w:highlight w:val="none"/>
          <w:lang w:val="en-US" w:eastAsia="zh-CN"/>
        </w:rPr>
        <w:t>0.38</w:t>
      </w:r>
      <w:r>
        <w:rPr>
          <w:rFonts w:hint="eastAsia" w:ascii="仿宋_GB2312" w:hAnsi="仿宋_GB2312" w:eastAsia="仿宋_GB2312" w:cs="仿宋_GB2312"/>
          <w:color w:val="auto"/>
          <w:sz w:val="32"/>
          <w:szCs w:val="32"/>
          <w:highlight w:val="none"/>
        </w:rPr>
        <w:t>万元，</w:t>
      </w:r>
      <w:r>
        <w:rPr>
          <w:rStyle w:val="15"/>
          <w:rFonts w:hint="eastAsia" w:ascii="仿宋_GB2312" w:hAnsi="仿宋_GB2312" w:eastAsia="仿宋_GB2312" w:cs="仿宋_GB2312"/>
          <w:b w:val="0"/>
          <w:bCs/>
          <w:color w:val="auto"/>
          <w:sz w:val="32"/>
          <w:szCs w:val="32"/>
          <w:highlight w:val="none"/>
        </w:rPr>
        <w:t>完成预算</w:t>
      </w:r>
      <w:r>
        <w:rPr>
          <w:rStyle w:val="15"/>
          <w:rFonts w:hint="eastAsia" w:ascii="仿宋_GB2312" w:hAnsi="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0.19</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%。主要原因是</w:t>
      </w:r>
      <w:r>
        <w:rPr>
          <w:rFonts w:hint="eastAsia" w:ascii="仿宋_GB2312" w:hAnsi="仿宋_GB2312" w:cs="仿宋_GB2312"/>
          <w:color w:val="auto"/>
          <w:sz w:val="32"/>
          <w:szCs w:val="32"/>
          <w:highlight w:val="none"/>
          <w:lang w:eastAsia="zh-CN"/>
        </w:rPr>
        <w:t>疫情结束后，恢复正常的红十字事业工作调研、交流等接待活动</w:t>
      </w:r>
      <w:r>
        <w:rPr>
          <w:rFonts w:hint="eastAsia" w:ascii="仿宋_GB2312" w:hAnsi="仿宋_GB2312" w:eastAsia="仿宋_GB2312" w:cs="仿宋_GB2312"/>
          <w:color w:val="auto"/>
          <w:sz w:val="32"/>
          <w:szCs w:val="32"/>
          <w:highlight w:val="none"/>
        </w:rPr>
        <w:t>。其中：</w:t>
      </w:r>
    </w:p>
    <w:p w14:paraId="109FF5ED">
      <w:pPr>
        <w:spacing w:line="600" w:lineRule="exact"/>
        <w:ind w:firstLine="64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cs="仿宋_GB2312"/>
          <w:color w:val="auto"/>
          <w:sz w:val="32"/>
          <w:szCs w:val="32"/>
          <w:highlight w:val="none"/>
          <w:lang w:val="en-US" w:eastAsia="zh-CN"/>
        </w:rPr>
        <w:t>.38</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迎接省级单位工作调研</w:t>
      </w:r>
      <w:r>
        <w:rPr>
          <w:rFonts w:hint="eastAsia" w:ascii="仿宋_GB2312" w:hAnsi="仿宋_GB2312" w:eastAsia="仿宋_GB2312" w:cs="仿宋_GB2312"/>
          <w:color w:val="auto"/>
          <w:sz w:val="32"/>
          <w:szCs w:val="32"/>
          <w:highlight w:val="none"/>
        </w:rPr>
        <w:t>用餐费。国内公务接待</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批次，</w:t>
      </w:r>
      <w:r>
        <w:rPr>
          <w:rFonts w:hint="eastAsia" w:ascii="仿宋_GB2312" w:hAnsi="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cs="仿宋_GB2312"/>
          <w:color w:val="auto"/>
          <w:sz w:val="32"/>
          <w:szCs w:val="32"/>
          <w:highlight w:val="none"/>
          <w:lang w:val="en-US" w:eastAsia="zh-CN"/>
        </w:rPr>
        <w:t>0.38</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cs="仿宋_GB2312"/>
          <w:color w:val="auto"/>
          <w:sz w:val="32"/>
          <w:szCs w:val="32"/>
          <w:highlight w:val="none"/>
          <w:lang w:eastAsia="zh-CN"/>
        </w:rPr>
        <w:t>接待省红十字会来自贡市开展业务培训</w:t>
      </w:r>
      <w:r>
        <w:rPr>
          <w:rFonts w:hint="eastAsia" w:ascii="仿宋_GB2312" w:hAnsi="仿宋_GB2312" w:cs="仿宋_GB2312"/>
          <w:color w:val="auto"/>
          <w:sz w:val="32"/>
          <w:szCs w:val="32"/>
          <w:highlight w:val="none"/>
          <w:lang w:val="en-US" w:eastAsia="zh-CN"/>
        </w:rPr>
        <w:t>556元；接待省红十字会领导调研自贡工作1200元；接待省人体器官捐献管理中心来自贡调研658元；接待省红十字会领导调研自贡工作727元；接待省红十字会领导参加第六次会员代表大会609元。</w:t>
      </w:r>
    </w:p>
    <w:p w14:paraId="75E0DB31">
      <w:pPr>
        <w:spacing w:line="600" w:lineRule="exact"/>
        <w:ind w:firstLine="640" w:firstLineChars="200"/>
        <w:rPr>
          <w:rFonts w:ascii="黑体" w:eastAsia="黑体"/>
          <w:color w:val="000000"/>
          <w:sz w:val="32"/>
          <w:szCs w:val="32"/>
        </w:rPr>
      </w:pPr>
      <w:r>
        <w:rPr>
          <w:rFonts w:hint="eastAsia" w:ascii="仿宋_GB2312" w:hAnsi="仿宋_GB2312" w:eastAsia="仿宋_GB2312" w:cs="仿宋_GB2312"/>
          <w:color w:val="auto"/>
          <w:sz w:val="32"/>
          <w:szCs w:val="32"/>
          <w:highlight w:val="none"/>
        </w:rPr>
        <w:t>外事接待支出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39" w:name="_Toc15396610"/>
      <w:bookmarkStart w:id="40" w:name="_Toc15377218"/>
    </w:p>
    <w:p w14:paraId="510536FC">
      <w:pPr>
        <w:spacing w:line="600" w:lineRule="exact"/>
        <w:ind w:firstLine="640"/>
        <w:outlineLvl w:val="1"/>
        <w:rPr>
          <w:rStyle w:val="18"/>
          <w:rFonts w:ascii="黑体" w:hAnsi="黑体" w:eastAsia="黑体"/>
        </w:rPr>
      </w:pPr>
      <w:bookmarkStart w:id="41" w:name="_Toc31714"/>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39"/>
      <w:bookmarkEnd w:id="40"/>
      <w:bookmarkEnd w:id="41"/>
    </w:p>
    <w:p w14:paraId="65490557">
      <w:pPr>
        <w:spacing w:line="600" w:lineRule="exact"/>
        <w:ind w:firstLine="640"/>
        <w:rPr>
          <w:rFonts w:ascii="仿宋_GB2312" w:eastAsia="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万元。</w:t>
      </w:r>
    </w:p>
    <w:p w14:paraId="29067263">
      <w:pPr>
        <w:numPr>
          <w:ilvl w:val="0"/>
          <w:numId w:val="2"/>
        </w:numPr>
        <w:spacing w:line="600" w:lineRule="exact"/>
        <w:ind w:firstLine="640"/>
        <w:outlineLvl w:val="1"/>
        <w:rPr>
          <w:rStyle w:val="18"/>
          <w:rFonts w:ascii="黑体" w:hAnsi="黑体" w:eastAsia="黑体"/>
          <w:b w:val="0"/>
        </w:rPr>
      </w:pPr>
      <w:bookmarkStart w:id="42" w:name="_Toc15377219"/>
      <w:bookmarkStart w:id="43" w:name="_Toc15396611"/>
      <w:bookmarkStart w:id="44" w:name="_Toc12385"/>
      <w:r>
        <w:rPr>
          <w:rStyle w:val="18"/>
          <w:rFonts w:hint="eastAsia" w:ascii="黑体" w:hAnsi="黑体" w:eastAsia="黑体"/>
          <w:b w:val="0"/>
        </w:rPr>
        <w:t>国有资本经营预算支出决算情况说明</w:t>
      </w:r>
      <w:bookmarkEnd w:id="42"/>
      <w:bookmarkEnd w:id="43"/>
      <w:bookmarkEnd w:id="44"/>
    </w:p>
    <w:p w14:paraId="6ED9E699">
      <w:pPr>
        <w:spacing w:line="600" w:lineRule="exact"/>
        <w:ind w:firstLine="640"/>
        <w:rPr>
          <w:rFonts w:ascii="方正小标宋简体" w:hAnsi="方正小标宋简体" w:eastAsia="方正小标宋简体" w:cs="方正小标宋简体"/>
          <w:sz w:val="44"/>
          <w:szCs w:val="44"/>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1B8CF7BE">
      <w:pPr>
        <w:spacing w:line="600" w:lineRule="exact"/>
        <w:ind w:firstLine="800" w:firstLineChars="250"/>
        <w:outlineLvl w:val="1"/>
        <w:rPr>
          <w:rStyle w:val="18"/>
          <w:rFonts w:ascii="黑体" w:hAnsi="黑体" w:eastAsia="黑体"/>
        </w:rPr>
      </w:pPr>
      <w:bookmarkStart w:id="45" w:name="_Toc15377221"/>
      <w:bookmarkStart w:id="46" w:name="_Toc15396612"/>
      <w:bookmarkStart w:id="47" w:name="_Toc30095"/>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45"/>
      <w:bookmarkEnd w:id="46"/>
      <w:bookmarkEnd w:id="47"/>
    </w:p>
    <w:p w14:paraId="43D08371">
      <w:pPr>
        <w:spacing w:line="600" w:lineRule="exact"/>
        <w:ind w:firstLine="643" w:firstLineChars="200"/>
        <w:outlineLvl w:val="2"/>
        <w:rPr>
          <w:rFonts w:hint="eastAsia" w:ascii="仿宋_GB2312" w:hAnsi="仿宋_GB2312" w:eastAsia="仿宋_GB2312" w:cs="仿宋_GB2312"/>
          <w:color w:val="000000"/>
          <w:sz w:val="32"/>
          <w:szCs w:val="32"/>
        </w:rPr>
      </w:pPr>
      <w:bookmarkStart w:id="48" w:name="_Toc15377222"/>
      <w:r>
        <w:rPr>
          <w:rFonts w:hint="eastAsia" w:ascii="仿宋_GB2312" w:hAnsi="仿宋_GB2312" w:eastAsia="仿宋_GB2312" w:cs="仿宋_GB2312"/>
          <w:b/>
          <w:color w:val="000000"/>
          <w:sz w:val="32"/>
          <w:szCs w:val="32"/>
        </w:rPr>
        <w:t>（一）机关运行经费支出情况</w:t>
      </w:r>
      <w:bookmarkEnd w:id="48"/>
    </w:p>
    <w:p w14:paraId="4CBA923F">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自贡市红十字会部门</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cs="仿宋_GB2312"/>
          <w:color w:val="auto"/>
          <w:sz w:val="32"/>
          <w:szCs w:val="32"/>
          <w:highlight w:val="none"/>
          <w:lang w:val="en-US" w:eastAsia="zh-CN"/>
        </w:rPr>
        <w:t>19.23</w:t>
      </w:r>
      <w:r>
        <w:rPr>
          <w:rFonts w:hint="eastAsia" w:ascii="仿宋_GB2312" w:hAnsi="仿宋_GB2312" w:eastAsia="仿宋_GB2312" w:cs="仿宋_GB2312"/>
          <w:color w:val="auto"/>
          <w:sz w:val="32"/>
          <w:szCs w:val="32"/>
          <w:highlight w:val="none"/>
        </w:rPr>
        <w:t>万元，比</w:t>
      </w:r>
      <w:r>
        <w:rPr>
          <w:rFonts w:hint="eastAsia" w:ascii="仿宋_GB2312" w:hAnsi="仿宋_GB2312" w:cs="仿宋_GB2312"/>
          <w:color w:val="auto"/>
          <w:sz w:val="32"/>
          <w:szCs w:val="32"/>
          <w:highlight w:val="none"/>
          <w:lang w:eastAsia="zh-CN"/>
        </w:rPr>
        <w:t>2022年</w:t>
      </w:r>
      <w:r>
        <w:rPr>
          <w:rFonts w:hint="eastAsia" w:ascii="仿宋_GB2312" w:hAnsi="仿宋_GB2312" w:eastAsia="仿宋_GB2312" w:cs="仿宋_GB2312"/>
          <w:color w:val="auto"/>
          <w:sz w:val="32"/>
          <w:szCs w:val="32"/>
          <w:highlight w:val="none"/>
        </w:rPr>
        <w:t>增加</w:t>
      </w:r>
      <w:r>
        <w:rPr>
          <w:rFonts w:hint="eastAsia" w:ascii="仿宋_GB2312" w:hAnsi="仿宋_GB2312" w:cs="仿宋_GB2312"/>
          <w:color w:val="auto"/>
          <w:sz w:val="32"/>
          <w:szCs w:val="32"/>
          <w:highlight w:val="none"/>
          <w:lang w:val="en-US" w:eastAsia="zh-CN"/>
        </w:rPr>
        <w:t>4.83</w:t>
      </w:r>
      <w:r>
        <w:rPr>
          <w:rFonts w:hint="eastAsia" w:ascii="仿宋_GB2312" w:hAnsi="仿宋_GB2312" w:eastAsia="仿宋_GB2312" w:cs="仿宋_GB2312"/>
          <w:color w:val="auto"/>
          <w:sz w:val="32"/>
          <w:szCs w:val="32"/>
          <w:highlight w:val="none"/>
        </w:rPr>
        <w:t>万元，增长</w:t>
      </w:r>
      <w:r>
        <w:rPr>
          <w:rFonts w:hint="eastAsia" w:ascii="仿宋_GB2312" w:hAnsi="仿宋_GB2312" w:cs="仿宋_GB2312"/>
          <w:color w:val="auto"/>
          <w:sz w:val="32"/>
          <w:szCs w:val="32"/>
          <w:highlight w:val="none"/>
          <w:lang w:val="en-US" w:eastAsia="zh-CN"/>
        </w:rPr>
        <w:t>33.54</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w:t>
      </w:r>
      <w:r>
        <w:rPr>
          <w:rFonts w:hint="eastAsia" w:ascii="仿宋_GB2312" w:hAnsi="仿宋_GB2312" w:cs="仿宋_GB2312"/>
          <w:color w:val="auto"/>
          <w:sz w:val="32"/>
          <w:szCs w:val="32"/>
          <w:highlight w:val="none"/>
          <w:lang w:eastAsia="zh-CN"/>
        </w:rPr>
        <w:t>新冠疫情过后，各类培训、会议、活动有所增加，并新增公务用车</w:t>
      </w:r>
      <w:r>
        <w:rPr>
          <w:rFonts w:hint="eastAsia" w:ascii="仿宋_GB2312" w:hAnsi="仿宋_GB2312" w:cs="仿宋_GB2312"/>
          <w:color w:val="auto"/>
          <w:sz w:val="32"/>
          <w:szCs w:val="32"/>
          <w:highlight w:val="none"/>
          <w:lang w:val="en-US" w:eastAsia="zh-CN"/>
        </w:rPr>
        <w:t>1辆，增加了运行维护费用支出</w:t>
      </w:r>
      <w:r>
        <w:rPr>
          <w:rFonts w:hint="eastAsia" w:ascii="仿宋_GB2312" w:hAnsi="仿宋_GB2312" w:eastAsia="仿宋_GB2312" w:cs="仿宋_GB2312"/>
          <w:color w:val="auto"/>
          <w:sz w:val="32"/>
          <w:szCs w:val="32"/>
          <w:highlight w:val="none"/>
          <w:lang w:eastAsia="zh-CN"/>
        </w:rPr>
        <w:t>。</w:t>
      </w:r>
    </w:p>
    <w:p w14:paraId="4683677D">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49" w:name="_Toc15377223"/>
      <w:r>
        <w:rPr>
          <w:rFonts w:hint="eastAsia" w:ascii="仿宋_GB2312" w:hAnsi="仿宋_GB2312" w:eastAsia="仿宋_GB2312" w:cs="仿宋_GB2312"/>
          <w:b/>
          <w:color w:val="000000"/>
          <w:sz w:val="32"/>
          <w:szCs w:val="32"/>
        </w:rPr>
        <w:t>（二）政府采购支出情况</w:t>
      </w:r>
      <w:bookmarkEnd w:id="49"/>
    </w:p>
    <w:p w14:paraId="5A2E84F0">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自贡市红十字会部门</w:t>
      </w:r>
      <w:r>
        <w:rPr>
          <w:rFonts w:hint="eastAsia" w:ascii="仿宋_GB2312" w:hAnsi="仿宋_GB2312" w:eastAsia="仿宋_GB2312" w:cs="仿宋_GB2312"/>
          <w:color w:val="auto"/>
          <w:sz w:val="32"/>
          <w:szCs w:val="32"/>
          <w:highlight w:val="none"/>
        </w:rPr>
        <w:t>政府采购支出总额</w:t>
      </w:r>
      <w:r>
        <w:rPr>
          <w:rFonts w:hint="eastAsia" w:ascii="仿宋_GB2312" w:hAnsi="仿宋_GB2312" w:cs="仿宋_GB2312"/>
          <w:color w:val="auto"/>
          <w:sz w:val="32"/>
          <w:szCs w:val="32"/>
          <w:highlight w:val="none"/>
          <w:lang w:val="en-US" w:eastAsia="zh-CN"/>
        </w:rPr>
        <w:t>0.37</w:t>
      </w:r>
      <w:r>
        <w:rPr>
          <w:rFonts w:hint="eastAsia" w:ascii="仿宋_GB2312" w:hAnsi="仿宋_GB2312" w:eastAsia="仿宋_GB2312" w:cs="仿宋_GB2312"/>
          <w:color w:val="auto"/>
          <w:sz w:val="32"/>
          <w:szCs w:val="32"/>
          <w:highlight w:val="none"/>
        </w:rPr>
        <w:t>万元，其中：政府采购货物支出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万元、政府采购工程支出</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万元、政府采购服务支出</w:t>
      </w:r>
      <w:r>
        <w:rPr>
          <w:rFonts w:hint="eastAsia" w:ascii="仿宋_GB2312" w:hAnsi="仿宋_GB2312" w:cs="仿宋_GB2312"/>
          <w:color w:val="auto"/>
          <w:sz w:val="32"/>
          <w:szCs w:val="32"/>
          <w:highlight w:val="none"/>
          <w:lang w:val="en-US" w:eastAsia="zh-CN"/>
        </w:rPr>
        <w:t>0.37</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eastAsia="zh-CN"/>
        </w:rPr>
        <w:t>公务用车购买加油和保险服务</w:t>
      </w:r>
      <w:r>
        <w:rPr>
          <w:rFonts w:hint="eastAsia" w:ascii="仿宋_GB2312" w:hAnsi="仿宋_GB2312" w:eastAsia="仿宋_GB2312" w:cs="仿宋_GB2312"/>
          <w:color w:val="auto"/>
          <w:sz w:val="32"/>
          <w:szCs w:val="32"/>
          <w:highlight w:val="none"/>
        </w:rPr>
        <w:t>。授予中小企业合同金额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%，其中：授予小微企业合同金额</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万元，占政府采购支出总额的</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w:t>
      </w:r>
    </w:p>
    <w:p w14:paraId="4EB56AE3">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50" w:name="_Toc15377224"/>
      <w:r>
        <w:rPr>
          <w:rFonts w:hint="eastAsia" w:ascii="仿宋_GB2312" w:hAnsi="仿宋_GB2312" w:eastAsia="仿宋_GB2312" w:cs="仿宋_GB2312"/>
          <w:b/>
          <w:color w:val="000000"/>
          <w:sz w:val="32"/>
          <w:szCs w:val="32"/>
        </w:rPr>
        <w:t>（三）国有资产占有使用情况</w:t>
      </w:r>
      <w:bookmarkEnd w:id="50"/>
    </w:p>
    <w:p w14:paraId="13361EDA">
      <w:pPr>
        <w:autoSpaceDE w:val="0"/>
        <w:autoSpaceDN w:val="0"/>
        <w:adjustRightInd w:val="0"/>
        <w:spacing w:line="600" w:lineRule="exact"/>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截至</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12月31日，</w:t>
      </w:r>
      <w:r>
        <w:rPr>
          <w:rFonts w:hint="eastAsia" w:ascii="仿宋_GB2312" w:hAnsi="仿宋_GB2312" w:cs="仿宋_GB2312"/>
          <w:color w:val="auto"/>
          <w:sz w:val="32"/>
          <w:szCs w:val="32"/>
          <w:highlight w:val="none"/>
          <w:lang w:eastAsia="zh-CN"/>
        </w:rPr>
        <w:t>自贡市红十字会部门</w:t>
      </w:r>
      <w:r>
        <w:rPr>
          <w:rFonts w:hint="eastAsia" w:ascii="仿宋_GB2312" w:hAnsi="仿宋_GB2312" w:eastAsia="仿宋_GB2312" w:cs="仿宋_GB2312"/>
          <w:color w:val="auto"/>
          <w:sz w:val="32"/>
          <w:szCs w:val="32"/>
          <w:highlight w:val="none"/>
        </w:rPr>
        <w:t>共有车辆</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辆，其中：主要领导干部用车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辆、机要通信用车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辆、应急保障用车</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辆、其他用车</w:t>
      </w:r>
      <w:r>
        <w:rPr>
          <w:rFonts w:hint="eastAsia" w:ascii="仿宋_GB2312" w:hAnsi="仿宋_GB2312" w:cs="仿宋_GB2312"/>
          <w:color w:val="auto"/>
          <w:sz w:val="32"/>
          <w:szCs w:val="32"/>
          <w:highlight w:val="none"/>
          <w:lang w:eastAsia="zh-CN"/>
        </w:rPr>
        <w:t>（特种专业技术用车）</w:t>
      </w: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其他用车主要是用于</w:t>
      </w:r>
      <w:r>
        <w:rPr>
          <w:rFonts w:hint="eastAsia" w:ascii="仿宋_GB2312" w:hAnsi="仿宋_GB2312" w:cs="仿宋_GB2312"/>
          <w:color w:val="auto"/>
          <w:sz w:val="32"/>
          <w:szCs w:val="32"/>
          <w:highlight w:val="none"/>
          <w:lang w:eastAsia="zh-CN"/>
        </w:rPr>
        <w:t>红十字应急指挥救援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单价100万元以上专用设备</w:t>
      </w:r>
      <w:r>
        <w:rPr>
          <w:rFonts w:hint="eastAsia" w:ascii="仿宋_GB2312" w:hAnsi="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台（套）。</w:t>
      </w:r>
    </w:p>
    <w:p w14:paraId="6CF1285E">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14:paraId="40A39BC5">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cs="仿宋_GB2312"/>
          <w:color w:val="auto"/>
          <w:sz w:val="32"/>
          <w:szCs w:val="32"/>
          <w:highlight w:val="none"/>
          <w:lang w:eastAsia="zh-CN"/>
        </w:rPr>
        <w:t>2023年</w:t>
      </w:r>
      <w:r>
        <w:rPr>
          <w:rFonts w:hint="eastAsia" w:ascii="仿宋_GB2312" w:hAnsi="仿宋_GB2312" w:eastAsia="仿宋_GB2312" w:cs="仿宋_GB2312"/>
          <w:color w:val="auto"/>
          <w:sz w:val="32"/>
          <w:szCs w:val="32"/>
          <w:highlight w:val="none"/>
        </w:rPr>
        <w:t>度预算编制阶段，组织对红十字“三救”“三献”服务</w:t>
      </w:r>
      <w:r>
        <w:rPr>
          <w:rFonts w:hint="eastAsia" w:ascii="仿宋_GB2312" w:hAnsi="仿宋_GB2312" w:cs="仿宋_GB2312"/>
          <w:color w:val="auto"/>
          <w:sz w:val="32"/>
          <w:szCs w:val="32"/>
          <w:highlight w:val="none"/>
          <w:lang w:eastAsia="zh-CN"/>
        </w:rPr>
        <w:t>、红十字“救”在身边</w:t>
      </w:r>
      <w:r>
        <w:rPr>
          <w:rFonts w:hint="eastAsia" w:ascii="仿宋_GB2312" w:hAnsi="仿宋_GB2312" w:eastAsia="仿宋_GB2312" w:cs="仿宋_GB2312"/>
          <w:color w:val="auto"/>
          <w:sz w:val="32"/>
          <w:szCs w:val="32"/>
          <w:highlight w:val="none"/>
        </w:rPr>
        <w:t>等</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w:t>
      </w:r>
    </w:p>
    <w:p w14:paraId="024818B8">
      <w:pPr>
        <w:pStyle w:val="2"/>
        <w:ind w:left="0" w:lef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年度一般公共预算、政府性基金预算等全面开展绩效自评，形成</w:t>
      </w:r>
      <w:r>
        <w:rPr>
          <w:rFonts w:hint="eastAsia" w:ascii="仿宋_GB2312" w:hAnsi="仿宋_GB2312" w:cs="仿宋_GB2312"/>
          <w:color w:val="auto"/>
          <w:sz w:val="32"/>
          <w:szCs w:val="32"/>
          <w:highlight w:val="none"/>
          <w:lang w:eastAsia="zh-CN"/>
        </w:rPr>
        <w:t>自贡市红十字会部门</w:t>
      </w:r>
      <w:r>
        <w:rPr>
          <w:rFonts w:hint="eastAsia" w:ascii="仿宋_GB2312" w:hAnsi="仿宋_GB2312" w:eastAsia="仿宋_GB2312" w:cs="仿宋_GB2312"/>
          <w:color w:val="auto"/>
          <w:sz w:val="32"/>
          <w:szCs w:val="32"/>
          <w:highlight w:val="none"/>
        </w:rPr>
        <w:t>整体绩效自评报告</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color w:val="auto"/>
          <w:sz w:val="32"/>
          <w:szCs w:val="32"/>
          <w:highlight w:val="none"/>
        </w:rPr>
        <w:t>部门整体绩效自评得分为</w:t>
      </w:r>
      <w:r>
        <w:rPr>
          <w:rFonts w:hint="eastAsia" w:ascii="仿宋_GB2312" w:hAnsi="仿宋_GB2312" w:cs="仿宋_GB2312"/>
          <w:color w:val="auto"/>
          <w:sz w:val="32"/>
          <w:szCs w:val="32"/>
          <w:highlight w:val="none"/>
          <w:lang w:val="en-US" w:eastAsia="zh-CN"/>
        </w:rPr>
        <w:t>99.5</w:t>
      </w:r>
      <w:r>
        <w:rPr>
          <w:rFonts w:hint="eastAsia" w:ascii="仿宋_GB2312" w:hAnsi="仿宋_GB2312" w:eastAsia="仿宋_GB2312" w:cs="仿宋_GB2312"/>
          <w:color w:val="auto"/>
          <w:sz w:val="32"/>
          <w:szCs w:val="32"/>
          <w:highlight w:val="none"/>
        </w:rPr>
        <w:t>分，绩效自评综述：</w:t>
      </w:r>
      <w:r>
        <w:rPr>
          <w:rFonts w:hint="eastAsia" w:ascii="仿宋_GB2312" w:hAnsi="仿宋" w:cs="仿宋_GB2312"/>
          <w:szCs w:val="32"/>
          <w:lang w:eastAsia="zh-CN"/>
        </w:rPr>
        <w:t>从整体绩效评价来看</w:t>
      </w:r>
      <w:r>
        <w:rPr>
          <w:rFonts w:hint="eastAsia" w:ascii="仿宋_GB2312" w:hAnsi="仿宋" w:cs="仿宋_GB2312"/>
          <w:szCs w:val="32"/>
        </w:rPr>
        <w:t>，</w:t>
      </w:r>
      <w:r>
        <w:rPr>
          <w:rFonts w:hint="eastAsia" w:ascii="仿宋_GB2312" w:hAnsi="仿宋" w:cs="仿宋_GB2312"/>
          <w:szCs w:val="32"/>
          <w:lang w:eastAsia="zh-CN"/>
        </w:rPr>
        <w:t>自贡市红十字会</w:t>
      </w:r>
      <w:r>
        <w:rPr>
          <w:rFonts w:hint="eastAsia" w:ascii="仿宋_GB2312" w:hAnsi="仿宋" w:cs="仿宋_GB2312"/>
          <w:szCs w:val="32"/>
        </w:rPr>
        <w:t>能够统筹兼顾</w:t>
      </w:r>
      <w:r>
        <w:rPr>
          <w:rFonts w:hint="eastAsia" w:ascii="仿宋_GB2312" w:hAnsi="仿宋" w:cs="仿宋_GB2312"/>
          <w:szCs w:val="32"/>
          <w:lang w:eastAsia="zh-CN"/>
        </w:rPr>
        <w:t>，</w:t>
      </w:r>
      <w:r>
        <w:rPr>
          <w:rFonts w:hint="eastAsia" w:ascii="仿宋_GB2312" w:hAnsi="仿宋" w:cs="仿宋_GB2312"/>
          <w:szCs w:val="32"/>
        </w:rPr>
        <w:t>保障了</w:t>
      </w:r>
      <w:r>
        <w:rPr>
          <w:rFonts w:hint="eastAsia" w:ascii="仿宋_GB2312" w:hAnsi="仿宋" w:cs="仿宋_GB2312"/>
          <w:szCs w:val="32"/>
          <w:lang w:eastAsia="zh-CN"/>
        </w:rPr>
        <w:t>机关</w:t>
      </w:r>
      <w:r>
        <w:rPr>
          <w:rFonts w:hint="eastAsia" w:ascii="仿宋_GB2312" w:hAnsi="仿宋" w:cs="仿宋_GB2312"/>
          <w:szCs w:val="32"/>
        </w:rPr>
        <w:t>的正常运转和事业发展，</w:t>
      </w:r>
      <w:r>
        <w:rPr>
          <w:rFonts w:hint="eastAsia" w:ascii="仿宋_GB2312" w:hAnsi="仿宋" w:cs="仿宋"/>
          <w:szCs w:val="32"/>
        </w:rPr>
        <w:t>基本达到</w:t>
      </w:r>
      <w:r>
        <w:rPr>
          <w:rFonts w:hint="eastAsia" w:ascii="仿宋_GB2312" w:hAnsi="仿宋" w:cs="仿宋"/>
          <w:szCs w:val="32"/>
          <w:lang w:eastAsia="zh-CN"/>
        </w:rPr>
        <w:t>部门整体</w:t>
      </w:r>
      <w:r>
        <w:rPr>
          <w:rFonts w:hint="eastAsia" w:ascii="仿宋_GB2312" w:hAnsi="仿宋" w:cs="仿宋"/>
          <w:szCs w:val="32"/>
        </w:rPr>
        <w:t>绩效目标预期</w:t>
      </w:r>
      <w:r>
        <w:rPr>
          <w:rFonts w:hint="eastAsia" w:ascii="仿宋_GB2312" w:hAnsi="仿宋" w:cs="仿宋_GB2312"/>
          <w:szCs w:val="32"/>
        </w:rPr>
        <w:t>。部门预决算及资产管理、内控制度、信息公开等符合财务管理相关规定，较好地完成了年度目标任务</w:t>
      </w:r>
      <w:r>
        <w:rPr>
          <w:rFonts w:hint="eastAsia" w:ascii="仿宋_GB2312" w:hAnsi="仿宋" w:cs="仿宋_GB2312"/>
          <w:szCs w:val="32"/>
          <w:lang w:eastAsia="zh-CN"/>
        </w:rPr>
        <w:t>，</w:t>
      </w:r>
      <w:r>
        <w:rPr>
          <w:rFonts w:hint="eastAsia" w:ascii="仿宋_GB2312" w:hAnsi="仿宋" w:cs="仿宋"/>
          <w:szCs w:val="32"/>
          <w:lang w:eastAsia="zh-CN"/>
        </w:rPr>
        <w:t>总体绩效目标完成情况良好</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绩效自评报告详见附件。</w:t>
      </w:r>
    </w:p>
    <w:p w14:paraId="449EE666">
      <w:pPr>
        <w:pStyle w:val="2"/>
        <w:ind w:left="0" w:leftChars="0"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br w:type="page"/>
      </w:r>
    </w:p>
    <w:p w14:paraId="20ED7D35">
      <w:pPr>
        <w:numPr>
          <w:ilvl w:val="0"/>
          <w:numId w:val="3"/>
        </w:numPr>
        <w:spacing w:line="600" w:lineRule="exact"/>
        <w:ind w:firstLine="660" w:firstLineChars="150"/>
        <w:jc w:val="center"/>
        <w:outlineLvl w:val="0"/>
        <w:rPr>
          <w:rStyle w:val="17"/>
          <w:rFonts w:ascii="黑体" w:hAnsi="黑体" w:eastAsia="黑体"/>
          <w:b w:val="0"/>
        </w:rPr>
      </w:pPr>
      <w:bookmarkStart w:id="51" w:name="_Toc15377225"/>
      <w:bookmarkStart w:id="52" w:name="_Toc6447"/>
      <w:bookmarkStart w:id="53" w:name="_Toc15396613"/>
      <w:r>
        <w:rPr>
          <w:rFonts w:hint="eastAsia" w:ascii="黑体" w:hAnsi="黑体" w:eastAsia="黑体"/>
          <w:color w:val="000000"/>
          <w:sz w:val="44"/>
          <w:szCs w:val="44"/>
        </w:rPr>
        <w:t>名</w:t>
      </w:r>
      <w:r>
        <w:rPr>
          <w:rStyle w:val="17"/>
          <w:rFonts w:hint="eastAsia" w:ascii="黑体" w:hAnsi="黑体" w:eastAsia="黑体"/>
          <w:b w:val="0"/>
        </w:rPr>
        <w:t>词解释</w:t>
      </w:r>
      <w:bookmarkEnd w:id="51"/>
      <w:bookmarkEnd w:id="52"/>
      <w:bookmarkEnd w:id="53"/>
    </w:p>
    <w:p w14:paraId="6B874F01">
      <w:pPr>
        <w:pStyle w:val="20"/>
        <w:spacing w:line="560" w:lineRule="exact"/>
        <w:ind w:firstLine="640" w:firstLineChars="200"/>
        <w:rPr>
          <w:rFonts w:ascii="仿宋_GB2312" w:eastAsia="仿宋_GB2312"/>
          <w:color w:val="auto"/>
          <w:sz w:val="32"/>
          <w:szCs w:val="32"/>
          <w:highlight w:val="none"/>
        </w:rPr>
      </w:pPr>
    </w:p>
    <w:p w14:paraId="57E012E6">
      <w:pPr>
        <w:pStyle w:val="2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5EA4DA10">
      <w:pPr>
        <w:spacing w:line="600" w:lineRule="exact"/>
        <w:ind w:firstLine="640" w:firstLineChars="200"/>
        <w:rPr>
          <w:rStyle w:val="15"/>
          <w:rFonts w:hint="eastAsia" w:ascii="仿宋_GB2312" w:hAnsi="仿宋_GB2312" w:eastAsia="仿宋_GB2312" w:cs="仿宋_GB2312"/>
          <w:b w:val="0"/>
          <w:bCs w:val="0"/>
          <w:color w:val="auto"/>
          <w:sz w:val="32"/>
          <w:szCs w:val="32"/>
          <w:highlight w:val="none"/>
          <w:lang w:val="en-US" w:eastAsia="zh-CN"/>
        </w:rPr>
      </w:pPr>
      <w:r>
        <w:rPr>
          <w:rStyle w:val="15"/>
          <w:rFonts w:hint="eastAsia" w:ascii="仿宋_GB2312" w:hAnsi="仿宋_GB2312" w:cs="仿宋_GB2312"/>
          <w:b w:val="0"/>
          <w:bCs w:val="0"/>
          <w:color w:val="auto"/>
          <w:sz w:val="32"/>
          <w:szCs w:val="32"/>
          <w:highlight w:val="none"/>
          <w:lang w:val="en-US" w:eastAsia="zh-CN"/>
        </w:rPr>
        <w:t>2</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default" w:ascii="Times New Roman" w:hAnsi="Times New Roman" w:eastAsia="仿宋_GB2312" w:cs="Times New Roman"/>
          <w:b w:val="0"/>
          <w:bCs w:val="0"/>
          <w:color w:val="000000"/>
          <w:sz w:val="32"/>
          <w:szCs w:val="32"/>
          <w:lang w:eastAsia="zh-CN"/>
        </w:rPr>
        <w:t>行政事业单位养老支出</w:t>
      </w:r>
      <w:r>
        <w:rPr>
          <w:rStyle w:val="15"/>
          <w:rFonts w:hint="default" w:ascii="Times New Roman" w:hAnsi="Times New Roman" w:eastAsia="仿宋_GB2312" w:cs="Times New Roman"/>
          <w:b w:val="0"/>
          <w:bCs w:val="0"/>
          <w:color w:val="000000"/>
          <w:sz w:val="32"/>
          <w:szCs w:val="32"/>
        </w:rPr>
        <w:t>（款）</w:t>
      </w:r>
      <w:r>
        <w:rPr>
          <w:rStyle w:val="15"/>
          <w:rFonts w:hint="eastAsia" w:cs="Times New Roman"/>
          <w:b w:val="0"/>
          <w:bCs w:val="0"/>
          <w:color w:val="000000"/>
          <w:sz w:val="32"/>
          <w:szCs w:val="32"/>
          <w:lang w:eastAsia="zh-CN"/>
        </w:rPr>
        <w:t>行政单位离退休</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指</w:t>
      </w:r>
      <w:r>
        <w:rPr>
          <w:rFonts w:hint="eastAsia" w:cs="Times New Roman"/>
          <w:b w:val="0"/>
          <w:bCs w:val="0"/>
          <w:sz w:val="32"/>
          <w:szCs w:val="32"/>
          <w:lang w:eastAsia="zh-CN"/>
        </w:rPr>
        <w:t>保障单位退休人员待遇的费用支出。</w:t>
      </w:r>
    </w:p>
    <w:p w14:paraId="290120AC">
      <w:pPr>
        <w:spacing w:line="600" w:lineRule="exact"/>
        <w:ind w:firstLine="640" w:firstLineChars="200"/>
        <w:rPr>
          <w:rFonts w:hint="default" w:ascii="Times New Roman" w:hAnsi="Times New Roman" w:eastAsia="仿宋_GB2312" w:cs="Times New Roman"/>
          <w:b w:val="0"/>
          <w:bCs w:val="0"/>
          <w:sz w:val="32"/>
          <w:szCs w:val="32"/>
        </w:rPr>
      </w:pPr>
      <w:r>
        <w:rPr>
          <w:rStyle w:val="15"/>
          <w:rFonts w:hint="eastAsia" w:ascii="仿宋_GB2312" w:hAnsi="仿宋_GB2312" w:cs="仿宋_GB2312"/>
          <w:b w:val="0"/>
          <w:bCs w:val="0"/>
          <w:color w:val="auto"/>
          <w:sz w:val="32"/>
          <w:szCs w:val="32"/>
          <w:highlight w:val="none"/>
          <w:lang w:val="en-US" w:eastAsia="zh-CN"/>
        </w:rPr>
        <w:t>3</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default" w:ascii="Times New Roman" w:hAnsi="Times New Roman" w:eastAsia="仿宋_GB2312" w:cs="Times New Roman"/>
          <w:b w:val="0"/>
          <w:bCs w:val="0"/>
          <w:color w:val="000000"/>
          <w:sz w:val="32"/>
          <w:szCs w:val="32"/>
          <w:lang w:eastAsia="zh-CN"/>
        </w:rPr>
        <w:t>行政事业单位养老支出</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eastAsia="zh-CN"/>
        </w:rPr>
        <w:t>机关事业单位基本养老保险缴费支出</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指实施养老保险制度由单位缴纳的基本养老保险费支出。</w:t>
      </w:r>
    </w:p>
    <w:p w14:paraId="13FC9501">
      <w:pPr>
        <w:spacing w:line="600" w:lineRule="exact"/>
        <w:ind w:firstLine="640" w:firstLineChars="200"/>
        <w:rPr>
          <w:rStyle w:val="15"/>
          <w:rFonts w:hint="eastAsia" w:ascii="仿宋_GB2312" w:hAnsi="仿宋_GB2312" w:cs="仿宋_GB2312"/>
          <w:b w:val="0"/>
          <w:bCs w:val="0"/>
          <w:color w:val="auto"/>
          <w:sz w:val="32"/>
          <w:szCs w:val="32"/>
          <w:highlight w:val="none"/>
          <w:lang w:val="en-US" w:eastAsia="zh-CN"/>
        </w:rPr>
      </w:pPr>
      <w:r>
        <w:rPr>
          <w:rStyle w:val="15"/>
          <w:rFonts w:hint="eastAsia" w:ascii="仿宋_GB2312" w:hAnsi="仿宋_GB2312" w:cs="仿宋_GB2312"/>
          <w:b w:val="0"/>
          <w:bCs w:val="0"/>
          <w:color w:val="auto"/>
          <w:sz w:val="32"/>
          <w:szCs w:val="32"/>
          <w:highlight w:val="none"/>
          <w:lang w:val="en-US" w:eastAsia="zh-CN"/>
        </w:rPr>
        <w:t>4</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default" w:ascii="Times New Roman" w:hAnsi="Times New Roman" w:eastAsia="仿宋_GB2312" w:cs="Times New Roman"/>
          <w:b w:val="0"/>
          <w:bCs w:val="0"/>
          <w:color w:val="000000"/>
          <w:sz w:val="32"/>
          <w:szCs w:val="32"/>
          <w:lang w:eastAsia="zh-CN"/>
        </w:rPr>
        <w:t>行政事业单位养老支出</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eastAsia="zh-CN"/>
        </w:rPr>
        <w:t>机关事业单位职业年金缴费支出</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Style w:val="15"/>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rPr>
        <w:t>指实施</w:t>
      </w:r>
      <w:r>
        <w:rPr>
          <w:rStyle w:val="15"/>
          <w:rFonts w:hint="default" w:ascii="Times New Roman" w:hAnsi="Times New Roman" w:eastAsia="仿宋_GB2312" w:cs="Times New Roman"/>
          <w:b w:val="0"/>
          <w:bCs w:val="0"/>
          <w:color w:val="000000"/>
          <w:sz w:val="32"/>
          <w:szCs w:val="32"/>
          <w:lang w:eastAsia="zh-CN"/>
        </w:rPr>
        <w:t>职业年金缴费</w:t>
      </w:r>
      <w:r>
        <w:rPr>
          <w:rFonts w:hint="default" w:ascii="Times New Roman" w:hAnsi="Times New Roman" w:eastAsia="仿宋_GB2312" w:cs="Times New Roman"/>
          <w:b w:val="0"/>
          <w:bCs w:val="0"/>
          <w:sz w:val="32"/>
          <w:szCs w:val="32"/>
        </w:rPr>
        <w:t>制度由单位缴纳的</w:t>
      </w:r>
      <w:r>
        <w:rPr>
          <w:rStyle w:val="15"/>
          <w:rFonts w:hint="default" w:ascii="Times New Roman" w:hAnsi="Times New Roman" w:eastAsia="仿宋_GB2312" w:cs="Times New Roman"/>
          <w:b w:val="0"/>
          <w:bCs w:val="0"/>
          <w:color w:val="000000"/>
          <w:sz w:val="32"/>
          <w:szCs w:val="32"/>
          <w:lang w:eastAsia="zh-CN"/>
        </w:rPr>
        <w:t>职业年金缴费</w:t>
      </w:r>
      <w:r>
        <w:rPr>
          <w:rFonts w:hint="default" w:ascii="Times New Roman" w:hAnsi="Times New Roman" w:eastAsia="仿宋_GB2312" w:cs="Times New Roman"/>
          <w:b w:val="0"/>
          <w:bCs w:val="0"/>
          <w:sz w:val="32"/>
          <w:szCs w:val="32"/>
        </w:rPr>
        <w:t>支出。</w:t>
      </w:r>
    </w:p>
    <w:p w14:paraId="53780F83">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Style w:val="15"/>
          <w:rFonts w:hint="eastAsia" w:ascii="仿宋_GB2312" w:hAnsi="仿宋_GB2312" w:cs="仿宋_GB2312"/>
          <w:b w:val="0"/>
          <w:bCs w:val="0"/>
          <w:color w:val="auto"/>
          <w:sz w:val="32"/>
          <w:szCs w:val="32"/>
          <w:highlight w:val="none"/>
          <w:lang w:val="en-US" w:eastAsia="zh-CN"/>
        </w:rPr>
        <w:t>3</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eastAsia" w:ascii="仿宋_GB2312" w:hAnsi="仿宋_GB2312" w:cs="仿宋_GB2312"/>
          <w:b w:val="0"/>
          <w:bCs w:val="0"/>
          <w:color w:val="auto"/>
          <w:sz w:val="32"/>
          <w:szCs w:val="32"/>
          <w:highlight w:val="none"/>
          <w:lang w:eastAsia="zh-CN"/>
        </w:rPr>
        <w:t>红十字事业</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行政运行</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default" w:ascii="Times New Roman" w:hAnsi="Times New Roman" w:eastAsia="仿宋_GB2312" w:cs="Times New Roman"/>
          <w:sz w:val="32"/>
          <w:szCs w:val="32"/>
        </w:rPr>
        <w:t>指</w:t>
      </w:r>
      <w:r>
        <w:rPr>
          <w:rFonts w:hint="eastAsia" w:ascii="Times New Roman" w:hAnsi="Times New Roman" w:eastAsia="仿宋_GB2312" w:cs="Times New Roman"/>
          <w:b w:val="0"/>
          <w:bCs w:val="0"/>
          <w:sz w:val="32"/>
          <w:szCs w:val="32"/>
          <w:lang w:eastAsia="zh-CN"/>
        </w:rPr>
        <w:t>自贡市红十字会</w:t>
      </w:r>
      <w:r>
        <w:rPr>
          <w:rFonts w:hint="default" w:ascii="Times New Roman" w:hAnsi="Times New Roman" w:eastAsia="仿宋_GB2312" w:cs="Times New Roman"/>
          <w:sz w:val="32"/>
          <w:szCs w:val="32"/>
        </w:rPr>
        <w:t>用于保障机构正常运行、开展日常工作的基本支出</w:t>
      </w:r>
      <w:r>
        <w:rPr>
          <w:rStyle w:val="15"/>
          <w:rFonts w:hint="eastAsia" w:cs="Times New Roman"/>
          <w:b w:val="0"/>
          <w:bCs w:val="0"/>
          <w:color w:val="000000"/>
          <w:sz w:val="32"/>
          <w:szCs w:val="32"/>
          <w:lang w:eastAsia="zh-CN"/>
        </w:rPr>
        <w:t>。</w:t>
      </w:r>
    </w:p>
    <w:p w14:paraId="6DDA8DA7">
      <w:pPr>
        <w:spacing w:line="600" w:lineRule="exact"/>
        <w:ind w:firstLine="640" w:firstLineChars="200"/>
        <w:rPr>
          <w:rStyle w:val="15"/>
          <w:rFonts w:hint="eastAsia" w:cs="Times New Roman"/>
          <w:b w:val="0"/>
          <w:bCs w:val="0"/>
          <w:color w:val="000000"/>
          <w:sz w:val="32"/>
          <w:szCs w:val="32"/>
          <w:lang w:eastAsia="zh-CN"/>
        </w:rPr>
      </w:pPr>
      <w:r>
        <w:rPr>
          <w:rStyle w:val="15"/>
          <w:rFonts w:hint="eastAsia" w:ascii="仿宋_GB2312" w:hAnsi="仿宋_GB2312" w:cs="仿宋_GB2312"/>
          <w:b w:val="0"/>
          <w:bCs w:val="0"/>
          <w:color w:val="auto"/>
          <w:sz w:val="32"/>
          <w:szCs w:val="32"/>
          <w:highlight w:val="none"/>
          <w:lang w:val="en-US" w:eastAsia="zh-CN"/>
        </w:rPr>
        <w:t>4</w:t>
      </w:r>
      <w:r>
        <w:rPr>
          <w:rStyle w:val="15"/>
          <w:rFonts w:hint="eastAsia" w:ascii="仿宋_GB2312" w:hAnsi="仿宋_GB2312" w:eastAsia="仿宋_GB2312" w:cs="仿宋_GB2312"/>
          <w:b w:val="0"/>
          <w:bCs w:val="0"/>
          <w:color w:val="auto"/>
          <w:sz w:val="32"/>
          <w:szCs w:val="32"/>
          <w:highlight w:val="none"/>
        </w:rPr>
        <w:t>.</w:t>
      </w:r>
      <w:r>
        <w:rPr>
          <w:rStyle w:val="15"/>
          <w:rFonts w:hint="default" w:ascii="Times New Roman" w:hAnsi="Times New Roman" w:eastAsia="仿宋_GB2312" w:cs="Times New Roman"/>
          <w:b w:val="0"/>
          <w:bCs w:val="0"/>
          <w:color w:val="000000"/>
          <w:sz w:val="32"/>
          <w:szCs w:val="32"/>
        </w:rPr>
        <w:t>社会保障和就业（类）</w:t>
      </w:r>
      <w:r>
        <w:rPr>
          <w:rStyle w:val="15"/>
          <w:rFonts w:hint="eastAsia" w:ascii="仿宋_GB2312" w:hAnsi="仿宋_GB2312" w:cs="仿宋_GB2312"/>
          <w:b w:val="0"/>
          <w:bCs w:val="0"/>
          <w:color w:val="auto"/>
          <w:sz w:val="32"/>
          <w:szCs w:val="32"/>
          <w:highlight w:val="none"/>
          <w:lang w:eastAsia="zh-CN"/>
        </w:rPr>
        <w:t>红十字事业</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其他红十字事业支出</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default" w:ascii="Times New Roman" w:hAnsi="Times New Roman" w:eastAsia="仿宋_GB2312" w:cs="Times New Roman"/>
          <w:sz w:val="32"/>
          <w:szCs w:val="32"/>
        </w:rPr>
        <w:t>指</w:t>
      </w:r>
      <w:r>
        <w:rPr>
          <w:rFonts w:hint="eastAsia" w:ascii="Times New Roman" w:hAnsi="Times New Roman" w:eastAsia="仿宋_GB2312" w:cs="Times New Roman"/>
          <w:b w:val="0"/>
          <w:bCs w:val="0"/>
          <w:sz w:val="32"/>
          <w:szCs w:val="32"/>
          <w:lang w:eastAsia="zh-CN"/>
        </w:rPr>
        <w:t>自贡市红十字会</w:t>
      </w:r>
      <w:r>
        <w:rPr>
          <w:rFonts w:hint="default" w:ascii="Times New Roman" w:hAnsi="Times New Roman" w:eastAsia="仿宋_GB2312" w:cs="Times New Roman"/>
          <w:sz w:val="32"/>
          <w:szCs w:val="32"/>
        </w:rPr>
        <w:t>用于</w:t>
      </w:r>
      <w:r>
        <w:rPr>
          <w:rFonts w:hint="eastAsia" w:cs="Times New Roman"/>
          <w:sz w:val="32"/>
          <w:szCs w:val="32"/>
          <w:lang w:eastAsia="zh-CN"/>
        </w:rPr>
        <w:t>开展红十字“三救”“三献”活动的</w:t>
      </w:r>
      <w:r>
        <w:rPr>
          <w:rFonts w:hint="default" w:ascii="Times New Roman" w:hAnsi="Times New Roman" w:eastAsia="仿宋_GB2312" w:cs="Times New Roman"/>
          <w:sz w:val="32"/>
          <w:szCs w:val="32"/>
        </w:rPr>
        <w:t>项目支出</w:t>
      </w:r>
      <w:r>
        <w:rPr>
          <w:rStyle w:val="15"/>
          <w:rFonts w:hint="eastAsia" w:cs="Times New Roman"/>
          <w:b w:val="0"/>
          <w:bCs w:val="0"/>
          <w:color w:val="000000"/>
          <w:sz w:val="32"/>
          <w:szCs w:val="32"/>
          <w:lang w:eastAsia="zh-CN"/>
        </w:rPr>
        <w:t>。</w:t>
      </w:r>
    </w:p>
    <w:p w14:paraId="24382E8E">
      <w:pPr>
        <w:keepNext w:val="0"/>
        <w:keepLines w:val="0"/>
        <w:pageBreakBefore w:val="0"/>
        <w:widowControl w:val="0"/>
        <w:kinsoku/>
        <w:wordWrap/>
        <w:overflowPunct/>
        <w:topLinePunct w:val="0"/>
        <w:bidi w:val="0"/>
        <w:snapToGrid/>
        <w:spacing w:line="580" w:lineRule="exact"/>
        <w:ind w:firstLine="640" w:firstLineChars="200"/>
        <w:textAlignment w:val="auto"/>
        <w:rPr>
          <w:rStyle w:val="15"/>
          <w:rFonts w:hint="eastAsia" w:cs="Times New Roman"/>
          <w:b w:val="0"/>
          <w:bCs w:val="0"/>
          <w:color w:val="000000"/>
          <w:sz w:val="32"/>
          <w:szCs w:val="32"/>
          <w:lang w:eastAsia="zh-CN"/>
        </w:rPr>
      </w:pPr>
      <w:r>
        <w:rPr>
          <w:rStyle w:val="15"/>
          <w:rFonts w:hint="eastAsia" w:ascii="仿宋_GB2312" w:hAnsi="仿宋_GB2312" w:cs="仿宋_GB2312"/>
          <w:b w:val="0"/>
          <w:bCs w:val="0"/>
          <w:color w:val="auto"/>
          <w:sz w:val="32"/>
          <w:szCs w:val="32"/>
          <w:highlight w:val="none"/>
          <w:lang w:val="en-US" w:eastAsia="zh-CN"/>
        </w:rPr>
        <w:t>5</w:t>
      </w:r>
      <w:r>
        <w:rPr>
          <w:rStyle w:val="15"/>
          <w:rFonts w:hint="eastAsia" w:ascii="仿宋_GB2312" w:hAnsi="仿宋_GB2312" w:eastAsia="仿宋_GB2312" w:cs="仿宋_GB2312"/>
          <w:b w:val="0"/>
          <w:bCs w:val="0"/>
          <w:color w:val="auto"/>
          <w:sz w:val="32"/>
          <w:szCs w:val="32"/>
          <w:highlight w:val="none"/>
        </w:rPr>
        <w:t>.</w:t>
      </w:r>
      <w:r>
        <w:rPr>
          <w:rStyle w:val="15"/>
          <w:rFonts w:hint="eastAsia" w:cs="Times New Roman"/>
          <w:b w:val="0"/>
          <w:bCs w:val="0"/>
          <w:color w:val="000000"/>
          <w:sz w:val="32"/>
          <w:szCs w:val="32"/>
          <w:lang w:eastAsia="zh-CN"/>
        </w:rPr>
        <w:t>卫生健康支出</w:t>
      </w:r>
      <w:r>
        <w:rPr>
          <w:rStyle w:val="15"/>
          <w:rFonts w:hint="default" w:ascii="Times New Roman" w:hAnsi="Times New Roman" w:eastAsia="仿宋_GB2312" w:cs="Times New Roman"/>
          <w:b w:val="0"/>
          <w:bCs w:val="0"/>
          <w:color w:val="000000"/>
          <w:sz w:val="32"/>
          <w:szCs w:val="32"/>
        </w:rPr>
        <w:t>（类）</w:t>
      </w:r>
      <w:r>
        <w:rPr>
          <w:rStyle w:val="15"/>
          <w:rFonts w:hint="eastAsia" w:ascii="仿宋_GB2312" w:hAnsi="仿宋_GB2312" w:cs="仿宋_GB2312"/>
          <w:b w:val="0"/>
          <w:bCs w:val="0"/>
          <w:color w:val="auto"/>
          <w:sz w:val="32"/>
          <w:szCs w:val="32"/>
          <w:highlight w:val="none"/>
          <w:lang w:eastAsia="zh-CN"/>
        </w:rPr>
        <w:t>行政事业单位医疗</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行政单位医疗</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eastAsia" w:ascii="Times New Roman" w:hAnsi="Times New Roman" w:eastAsia="仿宋_GB2312" w:cs="Times New Roman"/>
          <w:b w:val="0"/>
          <w:bCs w:val="0"/>
          <w:sz w:val="32"/>
          <w:szCs w:val="32"/>
          <w:lang w:eastAsia="zh-CN"/>
        </w:rPr>
        <w:t>指自贡市红十字会</w:t>
      </w:r>
      <w:r>
        <w:rPr>
          <w:rFonts w:hint="default" w:ascii="Times New Roman" w:hAnsi="Times New Roman" w:eastAsia="仿宋_GB2312" w:cs="Times New Roman"/>
          <w:b w:val="0"/>
          <w:bCs w:val="0"/>
          <w:sz w:val="32"/>
          <w:szCs w:val="32"/>
        </w:rPr>
        <w:t>按规定由单位缴纳的基本医疗保险支出。</w:t>
      </w:r>
    </w:p>
    <w:p w14:paraId="34221FAE">
      <w:pPr>
        <w:spacing w:line="600" w:lineRule="exact"/>
        <w:ind w:firstLine="640" w:firstLineChars="200"/>
        <w:rPr>
          <w:rStyle w:val="15"/>
          <w:rFonts w:hint="eastAsia" w:cs="Times New Roman"/>
          <w:b w:val="0"/>
          <w:bCs w:val="0"/>
          <w:color w:val="000000"/>
          <w:sz w:val="32"/>
          <w:szCs w:val="32"/>
          <w:lang w:eastAsia="zh-CN"/>
        </w:rPr>
      </w:pPr>
      <w:r>
        <w:rPr>
          <w:rStyle w:val="15"/>
          <w:rFonts w:hint="eastAsia" w:ascii="仿宋_GB2312" w:hAnsi="仿宋_GB2312" w:cs="仿宋_GB2312"/>
          <w:b w:val="0"/>
          <w:bCs w:val="0"/>
          <w:color w:val="auto"/>
          <w:sz w:val="32"/>
          <w:szCs w:val="32"/>
          <w:highlight w:val="none"/>
          <w:lang w:val="en-US" w:eastAsia="zh-CN"/>
        </w:rPr>
        <w:t>6</w:t>
      </w:r>
      <w:r>
        <w:rPr>
          <w:rStyle w:val="15"/>
          <w:rFonts w:hint="eastAsia" w:ascii="仿宋_GB2312" w:hAnsi="仿宋_GB2312" w:eastAsia="仿宋_GB2312" w:cs="仿宋_GB2312"/>
          <w:b w:val="0"/>
          <w:bCs w:val="0"/>
          <w:color w:val="auto"/>
          <w:sz w:val="32"/>
          <w:szCs w:val="32"/>
          <w:highlight w:val="none"/>
        </w:rPr>
        <w:t>.</w:t>
      </w:r>
      <w:r>
        <w:rPr>
          <w:rStyle w:val="15"/>
          <w:rFonts w:hint="eastAsia" w:cs="Times New Roman"/>
          <w:b w:val="0"/>
          <w:bCs w:val="0"/>
          <w:color w:val="000000"/>
          <w:sz w:val="32"/>
          <w:szCs w:val="32"/>
          <w:lang w:eastAsia="zh-CN"/>
        </w:rPr>
        <w:t>卫生健康支出</w:t>
      </w:r>
      <w:r>
        <w:rPr>
          <w:rStyle w:val="15"/>
          <w:rFonts w:hint="default" w:ascii="Times New Roman" w:hAnsi="Times New Roman" w:eastAsia="仿宋_GB2312" w:cs="Times New Roman"/>
          <w:b w:val="0"/>
          <w:bCs w:val="0"/>
          <w:color w:val="000000"/>
          <w:sz w:val="32"/>
          <w:szCs w:val="32"/>
        </w:rPr>
        <w:t>（类）</w:t>
      </w:r>
      <w:r>
        <w:rPr>
          <w:rStyle w:val="15"/>
          <w:rFonts w:hint="eastAsia" w:ascii="仿宋_GB2312" w:hAnsi="仿宋_GB2312" w:cs="仿宋_GB2312"/>
          <w:b w:val="0"/>
          <w:bCs w:val="0"/>
          <w:color w:val="auto"/>
          <w:sz w:val="32"/>
          <w:szCs w:val="32"/>
          <w:highlight w:val="none"/>
          <w:lang w:eastAsia="zh-CN"/>
        </w:rPr>
        <w:t>行政事业单位医疗</w:t>
      </w:r>
      <w:r>
        <w:rPr>
          <w:rStyle w:val="15"/>
          <w:rFonts w:hint="eastAsia" w:ascii="仿宋_GB2312" w:hAnsi="仿宋_GB2312" w:eastAsia="仿宋_GB2312" w:cs="仿宋_GB2312"/>
          <w:b w:val="0"/>
          <w:bCs w:val="0"/>
          <w:color w:val="auto"/>
          <w:sz w:val="32"/>
          <w:szCs w:val="32"/>
          <w:highlight w:val="none"/>
        </w:rPr>
        <w:t>（款）</w:t>
      </w:r>
      <w:r>
        <w:rPr>
          <w:rStyle w:val="15"/>
          <w:rFonts w:hint="eastAsia" w:ascii="仿宋_GB2312" w:hAnsi="仿宋_GB2312" w:cs="仿宋_GB2312"/>
          <w:b w:val="0"/>
          <w:bCs w:val="0"/>
          <w:color w:val="auto"/>
          <w:sz w:val="32"/>
          <w:szCs w:val="32"/>
          <w:highlight w:val="none"/>
          <w:lang w:eastAsia="zh-CN"/>
        </w:rPr>
        <w:t>公务员医疗补助</w:t>
      </w:r>
      <w:r>
        <w:rPr>
          <w:rStyle w:val="15"/>
          <w:rFonts w:hint="eastAsia" w:ascii="仿宋_GB2312" w:hAnsi="仿宋_GB2312" w:eastAsia="仿宋_GB2312" w:cs="仿宋_GB2312"/>
          <w:b w:val="0"/>
          <w:bCs w:val="0"/>
          <w:color w:val="auto"/>
          <w:sz w:val="32"/>
          <w:szCs w:val="32"/>
          <w:highlight w:val="none"/>
        </w:rPr>
        <w:t>（项）</w:t>
      </w:r>
      <w:r>
        <w:rPr>
          <w:rStyle w:val="15"/>
          <w:rFonts w:hint="eastAsia" w:ascii="仿宋_GB2312" w:hAnsi="仿宋_GB2312" w:cs="仿宋_GB2312"/>
          <w:b w:val="0"/>
          <w:bCs w:val="0"/>
          <w:color w:val="auto"/>
          <w:sz w:val="32"/>
          <w:szCs w:val="32"/>
          <w:highlight w:val="none"/>
          <w:lang w:eastAsia="zh-CN"/>
        </w:rPr>
        <w:t>：</w:t>
      </w:r>
      <w:r>
        <w:rPr>
          <w:rFonts w:hint="eastAsia" w:ascii="Times New Roman" w:hAnsi="Times New Roman" w:eastAsia="仿宋_GB2312" w:cs="Times New Roman"/>
          <w:b w:val="0"/>
          <w:bCs w:val="0"/>
          <w:sz w:val="32"/>
          <w:szCs w:val="32"/>
          <w:lang w:eastAsia="zh-CN"/>
        </w:rPr>
        <w:t>指自贡市红十字会</w:t>
      </w:r>
      <w:r>
        <w:rPr>
          <w:rFonts w:hint="default" w:ascii="Times New Roman" w:hAnsi="Times New Roman" w:eastAsia="仿宋_GB2312" w:cs="Times New Roman"/>
          <w:b w:val="0"/>
          <w:bCs w:val="0"/>
          <w:sz w:val="32"/>
          <w:szCs w:val="32"/>
        </w:rPr>
        <w:t>按规定由单位缴纳的</w:t>
      </w:r>
      <w:r>
        <w:rPr>
          <w:rFonts w:hint="eastAsia" w:cs="Times New Roman"/>
          <w:b w:val="0"/>
          <w:bCs w:val="0"/>
          <w:sz w:val="32"/>
          <w:szCs w:val="32"/>
          <w:lang w:eastAsia="zh-CN"/>
        </w:rPr>
        <w:t>公务员医疗补助支出</w:t>
      </w:r>
      <w:r>
        <w:rPr>
          <w:rFonts w:hint="default" w:ascii="Times New Roman" w:hAnsi="Times New Roman" w:eastAsia="仿宋_GB2312" w:cs="Times New Roman"/>
          <w:b w:val="0"/>
          <w:bCs w:val="0"/>
          <w:sz w:val="32"/>
          <w:szCs w:val="32"/>
        </w:rPr>
        <w:t>。</w:t>
      </w:r>
    </w:p>
    <w:p w14:paraId="693C98C3">
      <w:pPr>
        <w:keepNext w:val="0"/>
        <w:keepLines w:val="0"/>
        <w:pageBreakBefore w:val="0"/>
        <w:widowControl w:val="0"/>
        <w:kinsoku/>
        <w:wordWrap/>
        <w:overflowPunct/>
        <w:topLinePunct w:val="0"/>
        <w:bidi w:val="0"/>
        <w:snapToGrid/>
        <w:spacing w:line="580" w:lineRule="exact"/>
        <w:ind w:firstLine="640" w:firstLineChars="200"/>
        <w:textAlignment w:val="auto"/>
        <w:rPr>
          <w:rFonts w:ascii="仿宋" w:hAnsi="仿宋" w:eastAsia="仿宋"/>
          <w:b w:val="0"/>
          <w:bCs w:val="0"/>
          <w:color w:val="000000"/>
          <w:sz w:val="32"/>
          <w:szCs w:val="32"/>
        </w:rPr>
      </w:pPr>
      <w:r>
        <w:rPr>
          <w:rFonts w:hint="eastAsia" w:cs="Times New Roman"/>
          <w:b w:val="0"/>
          <w:bCs w:val="0"/>
          <w:color w:val="000000"/>
          <w:sz w:val="32"/>
          <w:szCs w:val="32"/>
          <w:lang w:val="en-US" w:eastAsia="zh-CN"/>
        </w:rPr>
        <w:t>7</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住房保障支出</w:t>
      </w:r>
      <w:r>
        <w:rPr>
          <w:rStyle w:val="15"/>
          <w:rFonts w:hint="default" w:ascii="Times New Roman" w:hAnsi="Times New Roman" w:eastAsia="仿宋_GB2312" w:cs="Times New Roman"/>
          <w:b w:val="0"/>
          <w:bCs w:val="0"/>
          <w:color w:val="000000"/>
          <w:sz w:val="32"/>
          <w:szCs w:val="32"/>
        </w:rPr>
        <w:t>（类）</w:t>
      </w:r>
      <w:r>
        <w:rPr>
          <w:rStyle w:val="15"/>
          <w:rFonts w:hint="default" w:ascii="Times New Roman" w:hAnsi="Times New Roman" w:eastAsia="仿宋_GB2312" w:cs="Times New Roman"/>
          <w:b w:val="0"/>
          <w:bCs w:val="0"/>
          <w:color w:val="000000"/>
          <w:sz w:val="32"/>
          <w:szCs w:val="32"/>
          <w:lang w:eastAsia="zh-CN"/>
        </w:rPr>
        <w:t>住房改革支出</w:t>
      </w:r>
      <w:r>
        <w:rPr>
          <w:rStyle w:val="15"/>
          <w:rFonts w:hint="default" w:ascii="Times New Roman" w:hAnsi="Times New Roman" w:eastAsia="仿宋_GB2312" w:cs="Times New Roman"/>
          <w:b w:val="0"/>
          <w:bCs w:val="0"/>
          <w:color w:val="000000"/>
          <w:sz w:val="32"/>
          <w:szCs w:val="32"/>
        </w:rPr>
        <w:t>（款）</w:t>
      </w:r>
      <w:r>
        <w:rPr>
          <w:rStyle w:val="15"/>
          <w:rFonts w:hint="default" w:ascii="Times New Roman" w:hAnsi="Times New Roman" w:eastAsia="仿宋_GB2312" w:cs="Times New Roman"/>
          <w:b w:val="0"/>
          <w:bCs w:val="0"/>
          <w:color w:val="000000"/>
          <w:sz w:val="32"/>
          <w:szCs w:val="32"/>
          <w:lang w:eastAsia="zh-CN"/>
        </w:rPr>
        <w:t>住房公积金</w:t>
      </w:r>
      <w:r>
        <w:rPr>
          <w:rStyle w:val="15"/>
          <w:rFonts w:hint="default" w:ascii="Times New Roman" w:hAnsi="Times New Roman" w:eastAsia="仿宋_GB2312" w:cs="Times New Roman"/>
          <w:b w:val="0"/>
          <w:bCs w:val="0"/>
          <w:color w:val="000000"/>
          <w:sz w:val="32"/>
          <w:szCs w:val="32"/>
        </w:rPr>
        <w:t>（项）</w:t>
      </w:r>
      <w:r>
        <w:rPr>
          <w:rStyle w:val="15"/>
          <w:rFonts w:hint="eastAsia"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指</w:t>
      </w:r>
      <w:r>
        <w:rPr>
          <w:rFonts w:hint="eastAsia" w:ascii="Times New Roman" w:hAnsi="Times New Roman" w:eastAsia="仿宋_GB2312" w:cs="Times New Roman"/>
          <w:b w:val="0"/>
          <w:bCs w:val="0"/>
          <w:sz w:val="32"/>
          <w:szCs w:val="32"/>
          <w:lang w:eastAsia="zh-CN"/>
        </w:rPr>
        <w:t>自贡市红十字会</w:t>
      </w:r>
      <w:r>
        <w:rPr>
          <w:rFonts w:hint="default" w:ascii="Times New Roman" w:hAnsi="Times New Roman" w:eastAsia="仿宋_GB2312" w:cs="Times New Roman"/>
          <w:b w:val="0"/>
          <w:bCs w:val="0"/>
          <w:sz w:val="32"/>
          <w:szCs w:val="32"/>
        </w:rPr>
        <w:t>按人力资源和社会保障部、财政部规定的基本工资和津贴补贴以及规定比例为职工缴纳的住房公积金支出。</w:t>
      </w:r>
    </w:p>
    <w:p w14:paraId="005B6024">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6BCEDB81">
      <w:pPr>
        <w:ind w:firstLine="640" w:firstLineChars="200"/>
        <w:rPr>
          <w:rFonts w:ascii="仿宋_GB2312" w:eastAsia="仿宋_GB2312"/>
          <w:color w:val="auto"/>
          <w:sz w:val="32"/>
          <w:szCs w:val="32"/>
          <w:highlight w:val="none"/>
        </w:rPr>
      </w:pPr>
      <w:r>
        <w:rPr>
          <w:rFonts w:hint="eastAsia" w:ascii="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08045DF2">
      <w:pPr>
        <w:pStyle w:val="2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0.</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4AF878EF">
      <w:pPr>
        <w:pStyle w:val="2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A94E222">
      <w:pPr>
        <w:spacing w:line="600" w:lineRule="exact"/>
        <w:jc w:val="center"/>
        <w:outlineLvl w:val="0"/>
        <w:rPr>
          <w:rStyle w:val="17"/>
          <w:rFonts w:ascii="黑体" w:hAnsi="黑体" w:eastAsia="黑体"/>
          <w:b w:val="0"/>
        </w:rPr>
      </w:pPr>
      <w:bookmarkStart w:id="54" w:name="_Toc15377226"/>
      <w:r>
        <w:rPr>
          <w:rFonts w:ascii="宋体"/>
          <w:b/>
          <w:color w:val="000000"/>
          <w:sz w:val="44"/>
          <w:szCs w:val="44"/>
        </w:rPr>
        <w:br w:type="page"/>
      </w:r>
      <w:bookmarkStart w:id="55" w:name="_Toc15396614"/>
      <w:bookmarkStart w:id="56" w:name="_Toc17220"/>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5"/>
      <w:bookmarkEnd w:id="56"/>
    </w:p>
    <w:p w14:paraId="35079C9B">
      <w:pPr>
        <w:keepNext w:val="0"/>
        <w:keepLines w:val="0"/>
        <w:pageBreakBefore w:val="0"/>
        <w:kinsoku/>
        <w:wordWrap/>
        <w:overflowPunct/>
        <w:topLinePunct w:val="0"/>
        <w:autoSpaceDE/>
        <w:autoSpaceDN/>
        <w:bidi w:val="0"/>
        <w:spacing w:line="572" w:lineRule="exact"/>
        <w:jc w:val="left"/>
        <w:textAlignment w:val="auto"/>
        <w:outlineLvl w:val="9"/>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23CC5C56">
      <w:pPr>
        <w:keepNext w:val="0"/>
        <w:keepLines w:val="0"/>
        <w:widowControl w:val="0"/>
        <w:suppressLineNumbers w:val="0"/>
        <w:spacing w:before="0" w:beforeAutospacing="0" w:after="0" w:afterAutospacing="0" w:line="540" w:lineRule="exact"/>
        <w:ind w:left="0" w:right="0"/>
        <w:jc w:val="center"/>
        <w:rPr>
          <w:rFonts w:hint="eastAsia" w:ascii="Times New Roman" w:hAnsi="方正小标宋简体" w:eastAsia="方正小标宋简体" w:cs="方正小标宋简体"/>
          <w:color w:val="000000"/>
          <w:kern w:val="0"/>
          <w:sz w:val="36"/>
          <w:szCs w:val="36"/>
          <w:lang w:val="en-US" w:eastAsia="zh-CN" w:bidi="ar"/>
        </w:rPr>
      </w:pPr>
      <w:r>
        <w:rPr>
          <w:rFonts w:hint="eastAsia" w:hAnsi="方正小标宋简体" w:eastAsia="方正小标宋简体" w:cs="方正小标宋简体"/>
          <w:color w:val="000000"/>
          <w:kern w:val="0"/>
          <w:sz w:val="36"/>
          <w:szCs w:val="36"/>
          <w:lang w:val="en-US" w:eastAsia="zh-CN" w:bidi="ar"/>
        </w:rPr>
        <w:t>2023年</w:t>
      </w:r>
      <w:r>
        <w:rPr>
          <w:rFonts w:hint="eastAsia" w:ascii="Times New Roman" w:hAnsi="方正小标宋简体" w:eastAsia="方正小标宋简体" w:cs="方正小标宋简体"/>
          <w:color w:val="000000"/>
          <w:kern w:val="0"/>
          <w:sz w:val="36"/>
          <w:szCs w:val="36"/>
          <w:lang w:eastAsia="zh-CN" w:bidi="ar"/>
        </w:rPr>
        <w:t>市级部门整体支出绩效</w:t>
      </w:r>
      <w:r>
        <w:rPr>
          <w:rFonts w:hint="eastAsia" w:ascii="Times New Roman" w:hAnsi="方正小标宋简体" w:eastAsia="方正小标宋简体" w:cs="方正小标宋简体"/>
          <w:color w:val="000000"/>
          <w:kern w:val="0"/>
          <w:sz w:val="36"/>
          <w:szCs w:val="36"/>
          <w:lang w:val="en-US" w:eastAsia="zh-CN" w:bidi="ar"/>
        </w:rPr>
        <w:t>报告</w:t>
      </w:r>
    </w:p>
    <w:p w14:paraId="7E84F5FB">
      <w:pPr>
        <w:keepNext w:val="0"/>
        <w:keepLines w:val="0"/>
        <w:widowControl w:val="0"/>
        <w:suppressLineNumbers w:val="0"/>
        <w:adjustRightInd w:val="0"/>
        <w:snapToGrid w:val="0"/>
        <w:spacing w:before="0" w:beforeAutospacing="0" w:after="0" w:afterAutospacing="0" w:line="540" w:lineRule="exact"/>
        <w:ind w:left="0" w:right="0" w:firstLine="720"/>
        <w:jc w:val="both"/>
        <w:rPr>
          <w:rFonts w:ascii="Times New Roman" w:hAnsi="Times New Roman" w:eastAsia="黑体" w:cs="Times New Roman"/>
          <w:color w:val="000000"/>
          <w:kern w:val="0"/>
          <w:sz w:val="24"/>
          <w:szCs w:val="24"/>
          <w:shd w:val="clear" w:color="auto" w:fill="FFFFFF"/>
          <w:lang w:val="en-US"/>
        </w:rPr>
      </w:pPr>
    </w:p>
    <w:p w14:paraId="5618D686">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000000"/>
          <w:kern w:val="0"/>
          <w:sz w:val="32"/>
          <w:szCs w:val="32"/>
          <w:highlight w:val="none"/>
          <w:shd w:val="clear" w:color="auto" w:fill="FFFFFF"/>
          <w:lang w:val="zh-CN"/>
        </w:rPr>
      </w:pPr>
      <w:r>
        <w:rPr>
          <w:rFonts w:hint="eastAsia" w:ascii="黑体" w:hAnsi="宋体" w:eastAsia="黑体" w:cs="宋体"/>
          <w:color w:val="000000"/>
          <w:kern w:val="0"/>
          <w:sz w:val="32"/>
          <w:szCs w:val="32"/>
          <w:highlight w:val="none"/>
          <w:shd w:val="clear" w:color="auto" w:fill="FFFFFF"/>
          <w:lang w:val="en-US" w:eastAsia="zh-CN"/>
        </w:rPr>
        <w:t>一、</w:t>
      </w:r>
      <w:r>
        <w:rPr>
          <w:rFonts w:hint="eastAsia" w:ascii="黑体" w:hAnsi="宋体" w:eastAsia="黑体" w:cs="宋体"/>
          <w:color w:val="000000"/>
          <w:kern w:val="0"/>
          <w:sz w:val="32"/>
          <w:szCs w:val="32"/>
          <w:highlight w:val="none"/>
          <w:shd w:val="clear" w:color="auto" w:fill="FFFFFF"/>
          <w:lang w:val="zh-CN"/>
        </w:rPr>
        <w:t>部门（单位）基本情况</w:t>
      </w:r>
    </w:p>
    <w:p w14:paraId="3674D8C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（一）机构组成</w:t>
      </w:r>
    </w:p>
    <w:p w14:paraId="7E080FC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default" w:ascii="Times New Roman" w:hAnsi="Times New Roman" w:eastAsia="仿宋_GB2312" w:cs="Times New Roman"/>
          <w:color w:val="000000"/>
          <w:sz w:val="32"/>
          <w:szCs w:val="32"/>
          <w:lang w:val="en-US" w:eastAsia="zh-CN" w:bidi="ar-SA"/>
        </w:rPr>
        <w:t>自贡市</w:t>
      </w:r>
      <w:r>
        <w:rPr>
          <w:rFonts w:hint="eastAsia" w:ascii="Times New Roman" w:hAnsi="Times New Roman" w:cs="Times New Roman"/>
          <w:color w:val="000000"/>
          <w:sz w:val="32"/>
          <w:szCs w:val="32"/>
          <w:lang w:val="en-US" w:eastAsia="zh-CN" w:bidi="ar-SA"/>
        </w:rPr>
        <w:t>红十字会</w:t>
      </w:r>
      <w:r>
        <w:rPr>
          <w:rFonts w:hint="default" w:ascii="Times New Roman" w:hAnsi="Times New Roman" w:eastAsia="仿宋_GB2312" w:cs="Times New Roman"/>
          <w:color w:val="000000"/>
          <w:sz w:val="32"/>
          <w:szCs w:val="32"/>
          <w:lang w:val="en-US" w:eastAsia="zh-CN" w:bidi="ar-SA"/>
        </w:rPr>
        <w:t>是</w:t>
      </w:r>
      <w:r>
        <w:rPr>
          <w:rFonts w:hint="eastAsia" w:ascii="Times New Roman" w:hAnsi="Times New Roman" w:cs="Times New Roman"/>
          <w:color w:val="000000"/>
          <w:sz w:val="32"/>
          <w:szCs w:val="32"/>
          <w:lang w:val="en-US" w:eastAsia="zh-CN" w:bidi="ar-SA"/>
        </w:rPr>
        <w:t>市委</w:t>
      </w:r>
      <w:r>
        <w:rPr>
          <w:rFonts w:hint="default" w:ascii="Times New Roman" w:hAnsi="Times New Roman" w:eastAsia="仿宋_GB2312" w:cs="Times New Roman"/>
          <w:color w:val="000000"/>
          <w:sz w:val="32"/>
          <w:szCs w:val="32"/>
          <w:lang w:val="en-US" w:eastAsia="zh-CN" w:bidi="ar-SA"/>
        </w:rPr>
        <w:t>序列</w:t>
      </w:r>
      <w:r>
        <w:rPr>
          <w:rFonts w:hint="eastAsia" w:ascii="Times New Roman" w:hAnsi="Times New Roman" w:cs="Times New Roman"/>
          <w:color w:val="000000"/>
          <w:sz w:val="32"/>
          <w:szCs w:val="32"/>
          <w:lang w:val="en-US" w:eastAsia="zh-CN" w:bidi="ar-SA"/>
        </w:rPr>
        <w:t>的群团机关</w:t>
      </w:r>
      <w:r>
        <w:rPr>
          <w:rFonts w:hint="eastAsia" w:ascii="仿宋_GB2312"/>
          <w:color w:val="000000"/>
          <w:kern w:val="0"/>
          <w:shd w:val="clear" w:color="auto" w:fill="FFFFFF"/>
          <w:lang w:val="zh-CN"/>
        </w:rPr>
        <w:t>，为市财政一级预算管理单位。</w:t>
      </w:r>
      <w:r>
        <w:rPr>
          <w:rFonts w:hint="default" w:ascii="Times New Roman" w:hAnsi="Times New Roman" w:eastAsia="仿宋_GB2312" w:cs="Times New Roman"/>
          <w:color w:val="000000"/>
          <w:sz w:val="32"/>
          <w:szCs w:val="32"/>
          <w:lang w:val="en-US" w:eastAsia="zh-CN" w:bidi="ar-SA"/>
        </w:rPr>
        <w:t>内设办公室、</w:t>
      </w:r>
      <w:r>
        <w:rPr>
          <w:rFonts w:hint="eastAsia" w:ascii="Times New Roman" w:hAnsi="Times New Roman" w:cs="Times New Roman"/>
          <w:color w:val="000000"/>
          <w:sz w:val="32"/>
          <w:szCs w:val="32"/>
          <w:lang w:val="en-US" w:eastAsia="zh-CN" w:bidi="ar-SA"/>
        </w:rPr>
        <w:t>综合业务科2</w:t>
      </w:r>
      <w:r>
        <w:rPr>
          <w:rFonts w:hint="default" w:ascii="Times New Roman" w:hAnsi="Times New Roman" w:eastAsia="仿宋_GB2312" w:cs="Times New Roman"/>
          <w:color w:val="000000"/>
          <w:sz w:val="32"/>
          <w:szCs w:val="32"/>
          <w:lang w:val="en-US" w:eastAsia="zh-CN" w:bidi="ar-SA"/>
        </w:rPr>
        <w:t>个</w:t>
      </w:r>
      <w:r>
        <w:rPr>
          <w:rFonts w:hint="eastAsia" w:ascii="Times New Roman" w:hAnsi="Times New Roman" w:cs="Times New Roman"/>
          <w:color w:val="000000"/>
          <w:sz w:val="32"/>
          <w:szCs w:val="32"/>
          <w:lang w:val="en-US" w:eastAsia="zh-CN" w:bidi="ar-SA"/>
        </w:rPr>
        <w:t>科室</w:t>
      </w:r>
      <w:r>
        <w:rPr>
          <w:rFonts w:hint="default" w:ascii="Times New Roman" w:hAnsi="Times New Roman" w:eastAsia="仿宋_GB2312" w:cs="Times New Roman"/>
          <w:color w:val="000000"/>
          <w:sz w:val="32"/>
          <w:szCs w:val="32"/>
          <w:lang w:val="en-US" w:eastAsia="zh-CN" w:bidi="ar-SA"/>
        </w:rPr>
        <w:t>。</w:t>
      </w:r>
    </w:p>
    <w:p w14:paraId="0B05F85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en-US" w:eastAsia="zh-CN"/>
        </w:rPr>
      </w:pPr>
      <w:bookmarkStart w:id="57" w:name="_Toc72430478"/>
      <w:r>
        <w:rPr>
          <w:rFonts w:hint="default" w:ascii="Times New Roman" w:hAnsi="Times New Roman" w:eastAsia="楷体_GB2312" w:cs="Times New Roman"/>
          <w:b w:val="0"/>
          <w:bCs w:val="0"/>
          <w:color w:val="000000"/>
          <w:kern w:val="0"/>
          <w:sz w:val="32"/>
          <w:szCs w:val="32"/>
          <w:highlight w:val="none"/>
          <w:shd w:val="clear" w:color="auto" w:fill="FFFFFF"/>
          <w:lang w:val="zh-CN"/>
        </w:rPr>
        <w:t>（二）机构职能和人员概况</w:t>
      </w:r>
    </w:p>
    <w:p w14:paraId="29346F1A">
      <w:pPr>
        <w:pStyle w:val="6"/>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w w:val="98"/>
          <w:sz w:val="32"/>
          <w:szCs w:val="32"/>
        </w:rPr>
      </w:pPr>
      <w:r>
        <w:rPr>
          <w:rFonts w:hint="eastAsia" w:ascii="仿宋_GB2312" w:hAnsi="Times New Roman" w:eastAsia="仿宋_GB2312" w:cs="Times New Roman"/>
          <w:b/>
          <w:bCs/>
          <w:sz w:val="32"/>
          <w:szCs w:val="32"/>
          <w:lang w:val="en-US" w:eastAsia="zh-CN"/>
        </w:rPr>
        <w:t>1.</w:t>
      </w:r>
      <w:r>
        <w:rPr>
          <w:rFonts w:hint="eastAsia" w:ascii="仿宋_GB2312" w:hAnsi="Times New Roman" w:eastAsia="仿宋_GB2312" w:cs="Times New Roman"/>
          <w:b/>
          <w:bCs/>
          <w:sz w:val="32"/>
          <w:szCs w:val="32"/>
          <w:lang w:eastAsia="zh-CN"/>
        </w:rPr>
        <w:t>机构</w:t>
      </w:r>
      <w:r>
        <w:rPr>
          <w:rFonts w:hint="eastAsia" w:ascii="仿宋_GB2312" w:hAnsi="Times New Roman" w:eastAsia="仿宋_GB2312" w:cs="Times New Roman"/>
          <w:b/>
          <w:bCs/>
          <w:sz w:val="32"/>
          <w:szCs w:val="32"/>
        </w:rPr>
        <w:t>职能</w:t>
      </w:r>
      <w:bookmarkEnd w:id="57"/>
      <w:r>
        <w:rPr>
          <w:rFonts w:hint="eastAsia" w:ascii="仿宋_GB2312" w:hAnsi="Times New Roman" w:eastAsia="仿宋_GB2312" w:cs="Times New Roman"/>
          <w:b/>
          <w:bCs/>
          <w:sz w:val="32"/>
          <w:szCs w:val="32"/>
          <w:lang w:eastAsia="zh-CN"/>
        </w:rPr>
        <w:t>。</w:t>
      </w:r>
      <w:r>
        <w:rPr>
          <w:rFonts w:hint="eastAsia" w:ascii="Times New Roman" w:hAnsi="Times New Roman" w:eastAsia="仿宋_GB2312" w:cs="Times New Roman"/>
          <w:b w:val="0"/>
          <w:bCs w:val="0"/>
          <w:kern w:val="2"/>
          <w:sz w:val="32"/>
          <w:szCs w:val="24"/>
          <w:lang w:val="en-US" w:eastAsia="zh-CN" w:bidi="ar-SA"/>
        </w:rPr>
        <w:t>依法开展救援救灾，建立红十字应急救援体系，在自然灾害、事故灾难、公共卫生等突发事件中，进行紧急援助和人道救助</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开展应急救护培训工作，普及应急救护、防灾避险和卫生健康知识</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开展人道救助工作，对易受损人群进行救助，为困难群众提供帮助</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依法参与和推动无偿献血，遗体和人体器官（组织）捐献，造血干细胞捐献的宣传动员等相关工作</w:t>
      </w:r>
      <w:r>
        <w:rPr>
          <w:rFonts w:hint="eastAsia" w:ascii="Times New Roman" w:hAnsi="Times New Roman" w:cs="Times New Roman"/>
          <w:b w:val="0"/>
          <w:bCs w:val="0"/>
          <w:kern w:val="2"/>
          <w:sz w:val="32"/>
          <w:szCs w:val="24"/>
          <w:lang w:val="en-US" w:eastAsia="zh-CN" w:bidi="ar-SA"/>
        </w:rPr>
        <w:t>；</w:t>
      </w:r>
      <w:r>
        <w:rPr>
          <w:rFonts w:hint="eastAsia" w:ascii="Times New Roman" w:hAnsi="Times New Roman" w:eastAsia="仿宋_GB2312" w:cs="Times New Roman"/>
          <w:b w:val="0"/>
          <w:bCs w:val="0"/>
          <w:kern w:val="2"/>
          <w:sz w:val="32"/>
          <w:szCs w:val="24"/>
          <w:lang w:val="en-US" w:eastAsia="zh-CN" w:bidi="ar-SA"/>
        </w:rPr>
        <w:t>组织开展红十字志愿服务、红十字青少年工作</w:t>
      </w:r>
      <w:r>
        <w:rPr>
          <w:rFonts w:hint="eastAsia" w:ascii="Times New Roman" w:hAnsi="Times New Roman" w:cs="Times New Roman"/>
          <w:b w:val="0"/>
          <w:bCs w:val="0"/>
          <w:kern w:val="2"/>
          <w:sz w:val="32"/>
          <w:szCs w:val="24"/>
          <w:lang w:val="en-US" w:eastAsia="zh-CN" w:bidi="ar-SA"/>
        </w:rPr>
        <w:t>；完成上级红十字会安排的工作任务；完成市委、市政府交办的各项工作任务。</w:t>
      </w:r>
    </w:p>
    <w:p w14:paraId="5504C642">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right="0" w:rightChars="0" w:firstLine="643" w:firstLineChars="200"/>
        <w:jc w:val="both"/>
        <w:textAlignment w:val="auto"/>
        <w:rPr>
          <w:rFonts w:hint="default" w:eastAsia="仿宋_GB2312"/>
          <w:lang w:val="en-US" w:eastAsia="zh-CN"/>
        </w:rPr>
      </w:pPr>
      <w:r>
        <w:rPr>
          <w:rFonts w:hint="eastAsia" w:ascii="仿宋_GB2312" w:hAnsi="仿宋" w:eastAsia="仿宋_GB2312" w:cs="Times New Roman"/>
          <w:b/>
          <w:bCs/>
          <w:sz w:val="32"/>
          <w:szCs w:val="32"/>
          <w:lang w:val="en-US" w:eastAsia="zh-CN"/>
        </w:rPr>
        <w:t>2.</w:t>
      </w:r>
      <w:r>
        <w:rPr>
          <w:rFonts w:hint="eastAsia" w:ascii="仿宋_GB2312" w:hAnsi="仿宋" w:eastAsia="仿宋_GB2312" w:cs="Times New Roman"/>
          <w:b/>
          <w:bCs/>
          <w:sz w:val="32"/>
          <w:szCs w:val="32"/>
          <w:lang w:val="zh-CN" w:eastAsia="zh-CN"/>
        </w:rPr>
        <w:t>人员概况。</w:t>
      </w:r>
      <w:r>
        <w:rPr>
          <w:rFonts w:hint="eastAsia" w:ascii="仿宋_GB2312" w:hAnsi="仿宋" w:eastAsia="仿宋_GB2312" w:cs="Times New Roman"/>
          <w:sz w:val="32"/>
          <w:szCs w:val="32"/>
          <w:lang w:val="zh-CN" w:eastAsia="zh-CN"/>
        </w:rPr>
        <w:t>自贡</w:t>
      </w:r>
      <w:r>
        <w:rPr>
          <w:rFonts w:hint="eastAsia" w:ascii="仿宋_GB2312" w:hAnsi="仿宋" w:eastAsia="仿宋_GB2312" w:cs="Times New Roman"/>
          <w:sz w:val="32"/>
          <w:szCs w:val="32"/>
          <w:lang w:eastAsia="zh-CN"/>
        </w:rPr>
        <w:t>市</w:t>
      </w:r>
      <w:r>
        <w:rPr>
          <w:rFonts w:hint="eastAsia" w:ascii="仿宋_GB2312" w:hAnsi="仿宋"/>
          <w:sz w:val="32"/>
          <w:szCs w:val="32"/>
          <w:lang w:eastAsia="zh-CN"/>
        </w:rPr>
        <w:t>红十字会</w:t>
      </w:r>
      <w:r>
        <w:rPr>
          <w:rFonts w:hint="eastAsia" w:ascii="仿宋_GB2312" w:hAnsi="仿宋" w:eastAsia="仿宋_GB2312"/>
          <w:sz w:val="32"/>
          <w:szCs w:val="32"/>
        </w:rPr>
        <w:t>部门总编制</w:t>
      </w:r>
      <w:r>
        <w:rPr>
          <w:rFonts w:hint="eastAsia" w:ascii="仿宋_GB2312" w:hAnsi="仿宋"/>
          <w:sz w:val="32"/>
          <w:szCs w:val="32"/>
          <w:lang w:val="en-US" w:eastAsia="zh-CN"/>
        </w:rPr>
        <w:t>7</w:t>
      </w:r>
      <w:r>
        <w:rPr>
          <w:rFonts w:hint="eastAsia" w:ascii="仿宋_GB2312" w:hAnsi="仿宋" w:eastAsia="仿宋_GB2312"/>
          <w:sz w:val="32"/>
          <w:szCs w:val="32"/>
        </w:rPr>
        <w:t>名，其中行政编制</w:t>
      </w:r>
      <w:r>
        <w:rPr>
          <w:rFonts w:hint="eastAsia" w:ascii="仿宋_GB2312" w:hAnsi="仿宋"/>
          <w:sz w:val="32"/>
          <w:szCs w:val="32"/>
          <w:lang w:val="en-US" w:eastAsia="zh-CN"/>
        </w:rPr>
        <w:t>7</w:t>
      </w:r>
      <w:r>
        <w:rPr>
          <w:rFonts w:hint="eastAsia" w:ascii="仿宋_GB2312" w:hAnsi="仿宋" w:eastAsia="仿宋_GB2312"/>
          <w:sz w:val="32"/>
          <w:szCs w:val="32"/>
        </w:rPr>
        <w:t>名。</w:t>
      </w:r>
      <w:r>
        <w:rPr>
          <w:rFonts w:hint="eastAsia" w:ascii="仿宋_GB2312" w:hAnsi="仿宋" w:eastAsia="仿宋_GB2312"/>
          <w:sz w:val="32"/>
          <w:szCs w:val="32"/>
          <w:lang w:val="en-US" w:eastAsia="zh-CN"/>
        </w:rPr>
        <w:t>年末</w:t>
      </w:r>
      <w:r>
        <w:rPr>
          <w:rFonts w:hint="eastAsia" w:ascii="仿宋_GB2312" w:hAnsi="仿宋" w:eastAsia="仿宋_GB2312"/>
          <w:sz w:val="32"/>
          <w:szCs w:val="32"/>
        </w:rPr>
        <w:t>在</w:t>
      </w:r>
      <w:r>
        <w:rPr>
          <w:rFonts w:hint="eastAsia" w:ascii="仿宋_GB2312" w:hAnsi="仿宋"/>
          <w:sz w:val="32"/>
          <w:szCs w:val="32"/>
          <w:lang w:eastAsia="zh-CN"/>
        </w:rPr>
        <w:t>编在</w:t>
      </w:r>
      <w:r>
        <w:rPr>
          <w:rFonts w:hint="eastAsia" w:ascii="仿宋_GB2312" w:hAnsi="仿宋" w:eastAsia="仿宋_GB2312"/>
          <w:sz w:val="32"/>
          <w:szCs w:val="32"/>
        </w:rPr>
        <w:t>职人数</w:t>
      </w:r>
      <w:r>
        <w:rPr>
          <w:rFonts w:hint="eastAsia" w:ascii="仿宋_GB2312" w:hAnsi="仿宋"/>
          <w:sz w:val="32"/>
          <w:szCs w:val="32"/>
          <w:lang w:val="en-US" w:eastAsia="zh-CN"/>
        </w:rPr>
        <w:t>6</w:t>
      </w:r>
      <w:r>
        <w:rPr>
          <w:rFonts w:hint="eastAsia" w:ascii="仿宋_GB2312" w:hAnsi="仿宋" w:eastAsia="仿宋_GB2312"/>
          <w:sz w:val="32"/>
          <w:szCs w:val="32"/>
        </w:rPr>
        <w:t>人，其中：行政人员</w:t>
      </w:r>
      <w:r>
        <w:rPr>
          <w:rFonts w:hint="eastAsia" w:ascii="仿宋_GB2312" w:hAnsi="仿宋"/>
          <w:sz w:val="32"/>
          <w:szCs w:val="32"/>
          <w:lang w:val="en-US" w:eastAsia="zh-CN"/>
        </w:rPr>
        <w:t>6</w:t>
      </w:r>
      <w:r>
        <w:rPr>
          <w:rFonts w:hint="eastAsia" w:ascii="仿宋_GB2312" w:hAnsi="仿宋" w:eastAsia="仿宋_GB2312"/>
          <w:sz w:val="32"/>
          <w:szCs w:val="32"/>
        </w:rPr>
        <w:t>人</w:t>
      </w:r>
      <w:r>
        <w:rPr>
          <w:rFonts w:hint="eastAsia" w:ascii="仿宋_GB2312" w:hAnsi="仿宋" w:eastAsia="仿宋_GB2312"/>
          <w:color w:val="auto"/>
          <w:sz w:val="32"/>
          <w:szCs w:val="32"/>
        </w:rPr>
        <w:t>。</w:t>
      </w:r>
    </w:p>
    <w:p w14:paraId="12ECEDE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（三）年度主要工作任务</w:t>
      </w:r>
    </w:p>
    <w:p w14:paraId="0993C62A">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ascii="Times New Roman" w:hAnsi="Times New Roman" w:eastAsia="仿宋_GB2312"/>
          <w:color w:val="000000"/>
          <w:sz w:val="32"/>
          <w:szCs w:val="32"/>
        </w:rPr>
      </w:pPr>
      <w:r>
        <w:rPr>
          <w:rFonts w:hint="eastAsia" w:ascii="仿宋_GB2312" w:hAnsi="仿宋_GB2312" w:cs="仿宋_GB2312"/>
          <w:b/>
          <w:bCs w:val="0"/>
          <w:sz w:val="32"/>
          <w:szCs w:val="32"/>
          <w:lang w:val="en-US" w:eastAsia="zh-CN"/>
        </w:rPr>
        <w:t>1.</w:t>
      </w:r>
      <w:r>
        <w:rPr>
          <w:rFonts w:hint="eastAsia" w:ascii="仿宋_GB2312" w:hAnsi="仿宋_GB2312" w:eastAsia="仿宋_GB2312" w:cs="仿宋_GB2312"/>
          <w:b/>
          <w:bCs w:val="0"/>
          <w:sz w:val="32"/>
          <w:szCs w:val="32"/>
        </w:rPr>
        <w:t>加强红十字系统组织建设</w:t>
      </w:r>
      <w:r>
        <w:rPr>
          <w:rFonts w:hint="eastAsia" w:ascii="仿宋_GB2312" w:hAnsi="仿宋_GB2312" w:eastAsia="仿宋_GB2312" w:cs="仿宋_GB2312"/>
          <w:b/>
          <w:bCs w:val="0"/>
          <w:sz w:val="32"/>
          <w:szCs w:val="32"/>
          <w:lang w:eastAsia="zh-CN"/>
        </w:rPr>
        <w:t>。</w:t>
      </w:r>
      <w:r>
        <w:rPr>
          <w:rFonts w:ascii="Times New Roman" w:hAnsi="Times New Roman" w:eastAsia="仿宋_GB2312"/>
          <w:color w:val="000000"/>
          <w:sz w:val="32"/>
          <w:szCs w:val="32"/>
        </w:rPr>
        <w:t>推进基层组织、阵地、工作有效覆盖，在条件成熟的乡镇、街道、学校、社区、企事业单位等积极发展红十字基层组织。发展壮大红十字会员、志愿者队伍，强化培训、激励、管理、服务等工作，充分发挥他们在红十字工作中的主体作用。积极融入城乡社区治理，创新参与途径和方法，建设服务城乡社区群众的“博爱家园”，打造群众身边的红十字会。</w:t>
      </w:r>
    </w:p>
    <w:p w14:paraId="413FAF61">
      <w:pPr>
        <w:keepNext w:val="0"/>
        <w:keepLines w:val="0"/>
        <w:pageBreakBefore w:val="0"/>
        <w:kinsoku/>
        <w:wordWrap/>
        <w:overflowPunct/>
        <w:topLinePunct w:val="0"/>
        <w:autoSpaceDE/>
        <w:autoSpaceDN/>
        <w:bidi w:val="0"/>
        <w:snapToGrid w:val="0"/>
        <w:spacing w:line="560" w:lineRule="exact"/>
        <w:ind w:firstLine="630" w:firstLineChars="196"/>
        <w:textAlignment w:val="auto"/>
        <w:rPr>
          <w:rFonts w:ascii="Times New Roman" w:hAnsi="Times New Roman" w:eastAsia="仿宋_GB2312"/>
          <w:sz w:val="32"/>
          <w:szCs w:val="32"/>
        </w:rPr>
      </w:pPr>
      <w:r>
        <w:rPr>
          <w:rFonts w:hint="eastAsia" w:ascii="仿宋_GB2312" w:hAnsi="仿宋_GB2312" w:cs="仿宋_GB2312"/>
          <w:b/>
          <w:bCs w:val="0"/>
          <w:sz w:val="32"/>
          <w:szCs w:val="32"/>
          <w:lang w:val="en-US" w:eastAsia="zh-CN"/>
        </w:rPr>
        <w:t>2.</w:t>
      </w:r>
      <w:r>
        <w:rPr>
          <w:rFonts w:hint="eastAsia" w:ascii="仿宋_GB2312" w:hAnsi="仿宋_GB2312" w:eastAsia="仿宋_GB2312" w:cs="仿宋_GB2312"/>
          <w:b/>
          <w:bCs w:val="0"/>
          <w:sz w:val="32"/>
          <w:szCs w:val="32"/>
        </w:rPr>
        <w:t>完善备灾救灾体系。</w:t>
      </w:r>
      <w:r>
        <w:rPr>
          <w:rFonts w:ascii="Times New Roman" w:eastAsia="仿宋_GB2312"/>
          <w:sz w:val="32"/>
          <w:szCs w:val="32"/>
        </w:rPr>
        <w:t>继续推进与应急管理部门协同配合，统筹社会力量开展应急救援演练、参与灾害救援工作。加快建设信息化捐赠服务平台，优选应急物流体系，推进备灾仓库规范化建设和运行。</w:t>
      </w:r>
    </w:p>
    <w:p w14:paraId="45AD3F4E">
      <w:pPr>
        <w:keepNext w:val="0"/>
        <w:keepLines w:val="0"/>
        <w:pageBreakBefore w:val="0"/>
        <w:kinsoku/>
        <w:wordWrap/>
        <w:overflowPunct/>
        <w:topLinePunct w:val="0"/>
        <w:autoSpaceDE/>
        <w:autoSpaceDN/>
        <w:bidi w:val="0"/>
        <w:snapToGrid w:val="0"/>
        <w:spacing w:line="560" w:lineRule="exact"/>
        <w:ind w:firstLine="645"/>
        <w:textAlignment w:val="auto"/>
        <w:rPr>
          <w:rFonts w:ascii="Times New Roman" w:hAnsi="Times New Roman" w:eastAsia="仿宋_GB2312"/>
          <w:sz w:val="32"/>
          <w:szCs w:val="32"/>
        </w:rPr>
      </w:pPr>
      <w:r>
        <w:rPr>
          <w:rFonts w:hint="eastAsia" w:ascii="仿宋_GB2312" w:hAnsi="仿宋_GB2312" w:cs="仿宋_GB2312"/>
          <w:b/>
          <w:bCs w:val="0"/>
          <w:sz w:val="32"/>
          <w:szCs w:val="32"/>
          <w:lang w:val="en-US" w:eastAsia="zh-CN"/>
        </w:rPr>
        <w:t>3.</w:t>
      </w:r>
      <w:r>
        <w:rPr>
          <w:rFonts w:hint="eastAsia" w:ascii="仿宋_GB2312" w:hAnsi="仿宋_GB2312" w:eastAsia="仿宋_GB2312" w:cs="仿宋_GB2312"/>
          <w:b/>
          <w:bCs w:val="0"/>
          <w:sz w:val="32"/>
          <w:szCs w:val="32"/>
        </w:rPr>
        <w:t>统筹抓好“三献”宣传和救护培训工作。</w:t>
      </w:r>
      <w:r>
        <w:rPr>
          <w:rFonts w:hint="eastAsia" w:ascii="Times New Roman" w:hAnsi="Times New Roman" w:eastAsia="仿宋_GB2312"/>
          <w:sz w:val="32"/>
          <w:szCs w:val="32"/>
          <w:lang w:eastAsia="zh-CN"/>
        </w:rPr>
        <w:t>打造“博爱自贡”和“救在身边”品牌项目，</w:t>
      </w:r>
      <w:r>
        <w:rPr>
          <w:rFonts w:ascii="Times New Roman" w:hAnsi="Times New Roman" w:eastAsia="仿宋_GB2312"/>
          <w:sz w:val="32"/>
          <w:szCs w:val="32"/>
        </w:rPr>
        <w:t>持续推进“三献”主题宣传，营造良好的社会氛围；突出救护培训工作的“品牌”优势，</w:t>
      </w:r>
      <w:r>
        <w:rPr>
          <w:rFonts w:ascii="Times New Roman" w:hAnsi="Times New Roman" w:eastAsia="仿宋_GB2312"/>
          <w:color w:val="000000"/>
          <w:sz w:val="32"/>
          <w:szCs w:val="32"/>
        </w:rPr>
        <w:t>主动为“一带一路”企业和项目建设提供救护培训服务；</w:t>
      </w:r>
      <w:r>
        <w:rPr>
          <w:rFonts w:ascii="Times New Roman" w:hAnsi="Times New Roman" w:eastAsia="仿宋_GB2312"/>
          <w:sz w:val="32"/>
          <w:szCs w:val="32"/>
        </w:rPr>
        <w:t>突出学校等重点培训单位，以点带面逐步扩大培训范围，形成具有红十字特色的应急救护培训模式。</w:t>
      </w:r>
    </w:p>
    <w:p w14:paraId="0765B3FB">
      <w:pPr>
        <w:keepNext w:val="0"/>
        <w:keepLines w:val="0"/>
        <w:pageBreakBefore w:val="0"/>
        <w:kinsoku/>
        <w:wordWrap/>
        <w:overflowPunct/>
        <w:topLinePunct w:val="0"/>
        <w:autoSpaceDE/>
        <w:autoSpaceDN/>
        <w:bidi w:val="0"/>
        <w:adjustRightInd w:val="0"/>
        <w:snapToGrid w:val="0"/>
        <w:spacing w:line="560" w:lineRule="exact"/>
        <w:ind w:firstLine="630" w:firstLineChars="196"/>
        <w:textAlignment w:val="auto"/>
        <w:rPr>
          <w:rFonts w:ascii="Times New Roman" w:hAnsi="Times New Roman" w:eastAsia="仿宋_GB2312"/>
          <w:sz w:val="32"/>
          <w:szCs w:val="32"/>
        </w:rPr>
      </w:pPr>
      <w:r>
        <w:rPr>
          <w:rFonts w:hint="eastAsia" w:ascii="仿宋_GB2312" w:hAnsi="仿宋_GB2312" w:cs="仿宋_GB2312"/>
          <w:b/>
          <w:bCs w:val="0"/>
          <w:sz w:val="32"/>
          <w:szCs w:val="32"/>
          <w:lang w:val="en-US" w:eastAsia="zh-CN"/>
        </w:rPr>
        <w:t>4.</w:t>
      </w:r>
      <w:r>
        <w:rPr>
          <w:rFonts w:hint="eastAsia" w:ascii="仿宋_GB2312" w:hAnsi="仿宋_GB2312" w:eastAsia="仿宋_GB2312" w:cs="仿宋_GB2312"/>
          <w:b/>
          <w:bCs w:val="0"/>
          <w:sz w:val="32"/>
          <w:szCs w:val="32"/>
        </w:rPr>
        <w:t>做实人道救助。</w:t>
      </w:r>
      <w:r>
        <w:rPr>
          <w:rFonts w:ascii="Times New Roman" w:hAnsi="Times New Roman" w:eastAsia="仿宋_GB2312"/>
          <w:sz w:val="32"/>
          <w:szCs w:val="32"/>
        </w:rPr>
        <w:t>以特殊困难群体为重点，继续实施元旦春节期间“红十字博爱送万家暨博爱盐都暖冬行动”“天使阳光和小天使两项基金”“红十字·红丝带”等品牌项目，进一步提高服务质量，切实</w:t>
      </w:r>
      <w:r>
        <w:rPr>
          <w:rFonts w:hint="eastAsia" w:ascii="Times New Roman" w:hAnsi="Times New Roman" w:eastAsia="仿宋_GB2312"/>
          <w:sz w:val="32"/>
          <w:szCs w:val="32"/>
          <w:lang w:eastAsia="zh-CN"/>
        </w:rPr>
        <w:t>提升</w:t>
      </w:r>
      <w:r>
        <w:rPr>
          <w:rFonts w:ascii="Times New Roman" w:hAnsi="Times New Roman" w:eastAsia="仿宋_GB2312"/>
          <w:sz w:val="32"/>
          <w:szCs w:val="32"/>
        </w:rPr>
        <w:t>红十字品牌项目的社会影响力。</w:t>
      </w:r>
    </w:p>
    <w:p w14:paraId="2DA3356C">
      <w:pPr>
        <w:keepNext w:val="0"/>
        <w:keepLines w:val="0"/>
        <w:pageBreakBefore w:val="0"/>
        <w:kinsoku/>
        <w:wordWrap/>
        <w:overflowPunct/>
        <w:topLinePunct w:val="0"/>
        <w:autoSpaceDE/>
        <w:autoSpaceDN/>
        <w:bidi w:val="0"/>
        <w:snapToGrid w:val="0"/>
        <w:spacing w:line="560" w:lineRule="exact"/>
        <w:ind w:firstLine="630" w:firstLineChars="196"/>
        <w:textAlignment w:val="auto"/>
        <w:rPr>
          <w:rFonts w:ascii="Times New Roman" w:hAnsi="Times New Roman" w:eastAsia="仿宋_GB2312"/>
        </w:rPr>
      </w:pPr>
      <w:r>
        <w:rPr>
          <w:rFonts w:hint="eastAsia" w:ascii="仿宋_GB2312" w:hAnsi="仿宋_GB2312" w:cs="仿宋_GB2312"/>
          <w:b/>
          <w:bCs w:val="0"/>
          <w:sz w:val="32"/>
          <w:szCs w:val="32"/>
          <w:lang w:val="en-US" w:eastAsia="zh-CN"/>
        </w:rPr>
        <w:t>5.</w:t>
      </w:r>
      <w:r>
        <w:rPr>
          <w:rFonts w:hint="eastAsia" w:ascii="仿宋_GB2312" w:hAnsi="仿宋_GB2312" w:eastAsia="仿宋_GB2312" w:cs="仿宋_GB2312"/>
          <w:b/>
          <w:bCs w:val="0"/>
          <w:sz w:val="32"/>
          <w:szCs w:val="32"/>
        </w:rPr>
        <w:t>推进专业化多元化志愿服务。</w:t>
      </w:r>
      <w:r>
        <w:rPr>
          <w:rFonts w:ascii="Times New Roman" w:eastAsia="仿宋_GB2312"/>
          <w:bCs/>
          <w:sz w:val="32"/>
          <w:szCs w:val="32"/>
        </w:rPr>
        <w:t>积极探索与其他单位及公益组织的合作，搭建引导和聚合社会力量共同参与的志愿服务平台，发挥志愿服务最大效能。拓展红十字志愿服务领域，加强红十字志愿服务队伍的组织领导和业务指导，推动志愿服务工作的可持续发展。</w:t>
      </w:r>
      <w:r>
        <w:rPr>
          <w:rFonts w:ascii="Times New Roman" w:eastAsia="仿宋_GB2312"/>
          <w:color w:val="000000"/>
          <w:sz w:val="32"/>
          <w:szCs w:val="32"/>
        </w:rPr>
        <w:t>将红十字青少年工作融入未成年人思想道德建设和大学生思想政治教育，为青少年提供道德实践平台，帮助其树立人道理念，弘扬社会文明新风尚。</w:t>
      </w:r>
    </w:p>
    <w:p w14:paraId="1BC236C7">
      <w:pPr>
        <w:keepNext w:val="0"/>
        <w:keepLines w:val="0"/>
        <w:pageBreakBefore w:val="0"/>
        <w:kinsoku/>
        <w:wordWrap/>
        <w:overflowPunct/>
        <w:topLinePunct w:val="0"/>
        <w:autoSpaceDE/>
        <w:autoSpaceDN/>
        <w:bidi w:val="0"/>
        <w:snapToGrid w:val="0"/>
        <w:spacing w:line="560" w:lineRule="exact"/>
        <w:ind w:firstLine="630" w:firstLineChars="196"/>
        <w:textAlignment w:val="auto"/>
        <w:rPr>
          <w:rFonts w:ascii="Times New Roman" w:hAnsi="Times New Roman" w:eastAsia="仿宋_GB2312"/>
          <w:bCs/>
          <w:sz w:val="32"/>
          <w:szCs w:val="32"/>
        </w:rPr>
      </w:pPr>
      <w:r>
        <w:rPr>
          <w:rFonts w:hint="eastAsia" w:ascii="仿宋_GB2312" w:hAnsi="仿宋_GB2312" w:cs="仿宋_GB2312"/>
          <w:b/>
          <w:bCs w:val="0"/>
          <w:sz w:val="32"/>
          <w:szCs w:val="32"/>
          <w:lang w:val="en-US" w:eastAsia="zh-CN"/>
        </w:rPr>
        <w:t>6.</w:t>
      </w:r>
      <w:r>
        <w:rPr>
          <w:rFonts w:hint="eastAsia" w:ascii="仿宋_GB2312" w:hAnsi="仿宋_GB2312" w:eastAsia="仿宋_GB2312" w:cs="仿宋_GB2312"/>
          <w:b/>
          <w:bCs w:val="0"/>
          <w:sz w:val="32"/>
          <w:szCs w:val="32"/>
        </w:rPr>
        <w:t>做好红十字宣传。</w:t>
      </w:r>
      <w:r>
        <w:rPr>
          <w:rFonts w:ascii="Times New Roman" w:hAnsi="Times New Roman" w:eastAsia="仿宋_GB2312"/>
          <w:sz w:val="32"/>
          <w:szCs w:val="32"/>
        </w:rPr>
        <w:t>用</w:t>
      </w:r>
      <w:r>
        <w:rPr>
          <w:rFonts w:ascii="Times New Roman" w:eastAsia="仿宋_GB2312"/>
          <w:bCs/>
          <w:sz w:val="32"/>
          <w:szCs w:val="32"/>
        </w:rPr>
        <w:t>好官网和新媒体平台，开展红十字系列宣传，大力传播红十字运动知识、特色工作、先进典型、感人事迹。精心策划</w:t>
      </w:r>
      <w:r>
        <w:rPr>
          <w:rFonts w:ascii="Times New Roman" w:hAnsi="Times New Roman" w:eastAsia="仿宋_GB2312"/>
          <w:bCs/>
          <w:sz w:val="32"/>
          <w:szCs w:val="32"/>
        </w:rPr>
        <w:t>“5.8</w:t>
      </w:r>
      <w:r>
        <w:rPr>
          <w:rFonts w:ascii="Times New Roman" w:eastAsia="仿宋_GB2312"/>
          <w:bCs/>
          <w:sz w:val="32"/>
          <w:szCs w:val="32"/>
        </w:rPr>
        <w:t>博爱周</w:t>
      </w:r>
      <w:r>
        <w:rPr>
          <w:rFonts w:ascii="Times New Roman" w:hAnsi="Times New Roman" w:eastAsia="仿宋_GB2312"/>
          <w:bCs/>
          <w:sz w:val="32"/>
          <w:szCs w:val="32"/>
        </w:rPr>
        <w:t>”“</w:t>
      </w:r>
      <w:r>
        <w:rPr>
          <w:rFonts w:ascii="Times New Roman" w:eastAsia="仿宋_GB2312"/>
          <w:bCs/>
          <w:sz w:val="32"/>
          <w:szCs w:val="32"/>
        </w:rPr>
        <w:t>世界急救日</w:t>
      </w:r>
      <w:r>
        <w:rPr>
          <w:rFonts w:ascii="Times New Roman" w:hAnsi="Times New Roman" w:eastAsia="仿宋_GB2312"/>
          <w:bCs/>
          <w:sz w:val="32"/>
          <w:szCs w:val="32"/>
        </w:rPr>
        <w:t>”</w:t>
      </w:r>
      <w:r>
        <w:rPr>
          <w:rFonts w:ascii="Times New Roman" w:eastAsia="仿宋_GB2312"/>
          <w:bCs/>
          <w:sz w:val="32"/>
          <w:szCs w:val="32"/>
        </w:rPr>
        <w:t>等宣传主题活动，凝聚更多力量支持和参与红十字事业，弘扬红十字精神。努力营造良好的社会舆论</w:t>
      </w:r>
      <w:r>
        <w:rPr>
          <w:rFonts w:hint="eastAsia" w:ascii="Times New Roman" w:eastAsia="仿宋_GB2312"/>
          <w:bCs/>
          <w:sz w:val="32"/>
          <w:szCs w:val="32"/>
          <w:lang w:eastAsia="zh-CN"/>
        </w:rPr>
        <w:t>氛围</w:t>
      </w:r>
      <w:r>
        <w:rPr>
          <w:rFonts w:ascii="Times New Roman" w:eastAsia="仿宋_GB2312"/>
          <w:bCs/>
          <w:sz w:val="32"/>
          <w:szCs w:val="32"/>
        </w:rPr>
        <w:t>，提高应对突发公共事件的舆论引导能力。</w:t>
      </w:r>
    </w:p>
    <w:p w14:paraId="10C9B12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Chars="0" w:right="0" w:rightChars="0" w:firstLine="643" w:firstLineChars="200"/>
        <w:jc w:val="both"/>
        <w:textAlignment w:val="auto"/>
        <w:rPr>
          <w:rFonts w:ascii="Times New Roman" w:eastAsia="仿宋_GB2312"/>
          <w:bCs/>
          <w:sz w:val="32"/>
          <w:szCs w:val="32"/>
        </w:rPr>
      </w:pPr>
      <w:r>
        <w:rPr>
          <w:rFonts w:hint="eastAsia" w:ascii="仿宋_GB2312" w:hAnsi="仿宋_GB2312" w:cs="仿宋_GB2312"/>
          <w:b/>
          <w:bCs w:val="0"/>
          <w:sz w:val="32"/>
          <w:szCs w:val="32"/>
          <w:lang w:val="en-US" w:eastAsia="zh-CN"/>
        </w:rPr>
        <w:t>7.</w:t>
      </w:r>
      <w:r>
        <w:rPr>
          <w:rFonts w:hint="eastAsia" w:ascii="仿宋_GB2312" w:hAnsi="仿宋_GB2312" w:eastAsia="仿宋_GB2312" w:cs="仿宋_GB2312"/>
          <w:b/>
          <w:bCs w:val="0"/>
          <w:sz w:val="32"/>
          <w:szCs w:val="32"/>
        </w:rPr>
        <w:t>加强自身建设</w:t>
      </w:r>
      <w:r>
        <w:rPr>
          <w:rFonts w:hint="eastAsia" w:ascii="仿宋_GB2312" w:hAnsi="仿宋_GB2312" w:eastAsia="仿宋_GB2312" w:cs="仿宋_GB2312"/>
          <w:b/>
          <w:bCs w:val="0"/>
          <w:sz w:val="32"/>
          <w:szCs w:val="32"/>
          <w:lang w:eastAsia="zh-CN"/>
        </w:rPr>
        <w:t>。</w:t>
      </w:r>
      <w:r>
        <w:rPr>
          <w:rFonts w:ascii="Times New Roman" w:eastAsia="仿宋_GB2312"/>
          <w:bCs/>
          <w:sz w:val="32"/>
          <w:szCs w:val="32"/>
        </w:rPr>
        <w:t>加强党对红十字工作的领导，巩固深化</w:t>
      </w:r>
      <w:r>
        <w:rPr>
          <w:rFonts w:hint="eastAsia" w:ascii="Times New Roman" w:hAnsi="Times New Roman" w:eastAsia="仿宋_GB2312"/>
          <w:bCs/>
          <w:sz w:val="32"/>
          <w:szCs w:val="32"/>
          <w:lang w:eastAsia="zh-CN"/>
        </w:rPr>
        <w:t>党史教育</w:t>
      </w:r>
      <w:r>
        <w:rPr>
          <w:rFonts w:ascii="Times New Roman" w:eastAsia="仿宋_GB2312"/>
          <w:bCs/>
          <w:sz w:val="32"/>
          <w:szCs w:val="32"/>
        </w:rPr>
        <w:t>主题教育成果，全面压实党的领导。</w:t>
      </w:r>
      <w:r>
        <w:rPr>
          <w:rFonts w:hint="eastAsia" w:ascii="Times New Roman" w:eastAsia="仿宋_GB2312"/>
          <w:bCs/>
          <w:sz w:val="32"/>
          <w:szCs w:val="32"/>
          <w:lang w:eastAsia="zh-CN"/>
        </w:rPr>
        <w:t>严格</w:t>
      </w:r>
      <w:r>
        <w:rPr>
          <w:rFonts w:ascii="Times New Roman" w:eastAsia="仿宋_GB2312"/>
          <w:bCs/>
          <w:sz w:val="32"/>
          <w:szCs w:val="32"/>
        </w:rPr>
        <w:t>执行请示报告制度，重大事项及时向市委、市政府报告。充分运用互联网技术，搭建引导和聚合社会力量的平台和通道，逐步推动互联网与红十字事业的全面融合。完善法律监督、政府监督、社会监督、第三方监督、自我监督相结合的综合性监督体系，建立第三方审计制度，强化对捐赠款物的监管，完善信息公开标准，主动接受公众监督，提升红十字会社会公信力和工作透明度。</w:t>
      </w:r>
    </w:p>
    <w:p w14:paraId="053DB0B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（四）部门整体支出绩效目标</w:t>
      </w:r>
    </w:p>
    <w:p w14:paraId="232A982E">
      <w:pPr>
        <w:pStyle w:val="2"/>
        <w:keepNext w:val="0"/>
        <w:keepLines w:val="0"/>
        <w:pageBreakBefore w:val="0"/>
        <w:kinsoku/>
        <w:wordWrap/>
        <w:overflowPunct/>
        <w:topLinePunct w:val="0"/>
        <w:autoSpaceDE/>
        <w:autoSpaceDN/>
        <w:bidi w:val="0"/>
        <w:spacing w:line="560" w:lineRule="exact"/>
        <w:ind w:left="0" w:leftChars="0" w:firstLine="642" w:firstLineChars="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用好用活财政资金，在保障机关正常运转的情况下，</w:t>
      </w:r>
      <w:r>
        <w:rPr>
          <w:rFonts w:hint="eastAsia" w:ascii="仿宋_GB2312" w:hAnsi="仿宋_GB2312" w:cs="仿宋_GB2312"/>
          <w:color w:val="auto"/>
          <w:kern w:val="2"/>
          <w:sz w:val="32"/>
          <w:szCs w:val="32"/>
          <w:highlight w:val="none"/>
          <w:lang w:val="en-US" w:eastAsia="zh-CN" w:bidi="ar-SA"/>
        </w:rPr>
        <w:t>确保高质量</w:t>
      </w:r>
      <w:r>
        <w:rPr>
          <w:rFonts w:hint="eastAsia" w:ascii="仿宋_GB2312" w:hAnsi="仿宋_GB2312" w:eastAsia="仿宋_GB2312" w:cs="仿宋_GB2312"/>
          <w:color w:val="auto"/>
          <w:kern w:val="2"/>
          <w:sz w:val="32"/>
          <w:szCs w:val="32"/>
          <w:highlight w:val="none"/>
          <w:lang w:val="en-US" w:eastAsia="zh-CN" w:bidi="ar-SA"/>
        </w:rPr>
        <w:t>完成</w:t>
      </w:r>
      <w:r>
        <w:rPr>
          <w:rFonts w:hint="eastAsia" w:ascii="仿宋_GB2312" w:hAnsi="仿宋_GB2312" w:cs="仿宋_GB2312"/>
          <w:color w:val="auto"/>
          <w:kern w:val="2"/>
          <w:sz w:val="32"/>
          <w:szCs w:val="32"/>
          <w:highlight w:val="none"/>
          <w:lang w:val="en-US" w:eastAsia="zh-CN" w:bidi="ar-SA"/>
        </w:rPr>
        <w:t>全年</w:t>
      </w:r>
      <w:r>
        <w:rPr>
          <w:rFonts w:hint="eastAsia" w:ascii="仿宋_GB2312" w:hAnsi="仿宋_GB2312" w:eastAsia="仿宋_GB2312" w:cs="仿宋_GB2312"/>
          <w:color w:val="auto"/>
          <w:kern w:val="2"/>
          <w:sz w:val="32"/>
          <w:szCs w:val="32"/>
          <w:highlight w:val="none"/>
          <w:lang w:val="en-US" w:eastAsia="zh-CN" w:bidi="ar-SA"/>
        </w:rPr>
        <w:t>主要工作任务，助推全市红十字事业</w:t>
      </w:r>
      <w:r>
        <w:rPr>
          <w:rFonts w:hint="eastAsia" w:ascii="仿宋_GB2312" w:hAnsi="仿宋_GB2312" w:cs="仿宋_GB2312"/>
          <w:color w:val="auto"/>
          <w:kern w:val="2"/>
          <w:sz w:val="32"/>
          <w:szCs w:val="32"/>
          <w:highlight w:val="none"/>
          <w:lang w:val="en-US" w:eastAsia="zh-CN" w:bidi="ar-SA"/>
        </w:rPr>
        <w:t>实现高质量</w:t>
      </w:r>
      <w:r>
        <w:rPr>
          <w:rFonts w:hint="eastAsia" w:ascii="仿宋_GB2312" w:hAnsi="仿宋_GB2312" w:eastAsia="仿宋_GB2312" w:cs="仿宋_GB2312"/>
          <w:color w:val="auto"/>
          <w:kern w:val="2"/>
          <w:sz w:val="32"/>
          <w:szCs w:val="32"/>
          <w:highlight w:val="none"/>
          <w:lang w:val="en-US" w:eastAsia="zh-CN" w:bidi="ar-SA"/>
        </w:rPr>
        <w:t>发展。</w:t>
      </w:r>
    </w:p>
    <w:p w14:paraId="086E717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3E5F49C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（一）部门总体收支情况。</w:t>
      </w:r>
    </w:p>
    <w:p w14:paraId="4EC5B26B">
      <w:pPr>
        <w:spacing w:line="600" w:lineRule="exact"/>
        <w:ind w:firstLine="643" w:firstLineChars="200"/>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1.部门总体收入情况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_GB2312" w:cs="仿宋_GB2312"/>
          <w:color w:val="auto"/>
          <w:sz w:val="32"/>
          <w:szCs w:val="32"/>
          <w:highlight w:val="none"/>
          <w:lang w:val="en-US" w:eastAsia="zh-CN"/>
        </w:rPr>
        <w:t>2023年自贡市红十字会总体收入为190.26万元。与2022年相比，收入增加56.02万元，增长41.73%。主要变动原因是2023年人员工资和公用经费增加，并增加了红十字改革及事业发展和红十字“救”在身边项目经费。</w:t>
      </w:r>
    </w:p>
    <w:p w14:paraId="1CB13E56">
      <w:pPr>
        <w:spacing w:line="600" w:lineRule="exact"/>
        <w:ind w:firstLine="643" w:firstLineChars="200"/>
        <w:rPr>
          <w:rFonts w:hint="eastAsia" w:ascii="仿宋_GB2312" w:hAnsi="仿宋_GB2312" w:eastAsia="仿宋_GB2312" w:cs="仿宋_GB2312"/>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2.部门总体支出情况</w:t>
      </w:r>
      <w:r>
        <w:rPr>
          <w:rFonts w:hint="eastAsia" w:ascii="仿宋_GB2312" w:hAnsi="仿宋_GB2312" w:cs="仿宋_GB2312"/>
          <w:b w:val="0"/>
          <w:bCs w:val="0"/>
          <w:color w:val="000000"/>
          <w:kern w:val="0"/>
          <w:sz w:val="32"/>
          <w:szCs w:val="32"/>
          <w:highlight w:val="none"/>
          <w:shd w:val="clear" w:color="auto" w:fill="FFFFFF"/>
          <w:lang w:val="en-US" w:eastAsia="zh-CN"/>
        </w:rPr>
        <w:t>。</w:t>
      </w:r>
      <w:r>
        <w:rPr>
          <w:rFonts w:hint="eastAsia" w:ascii="仿宋_GB2312" w:hAnsi="仿宋_GB2312" w:cs="仿宋_GB2312"/>
          <w:color w:val="auto"/>
          <w:sz w:val="32"/>
          <w:szCs w:val="32"/>
          <w:highlight w:val="none"/>
          <w:lang w:val="en-US" w:eastAsia="zh-CN"/>
        </w:rPr>
        <w:t>2023年自贡市红十字会总体支出190.26万元，比上年增加56.02万元，增长41.73%。主要原因是2023年增加了人员工资和公用经费和增加了红十字改革及事业发展和红十字“救”在身边项目经费等支出。其中：人员经费支出131.94万元，占支出总额的69.35%；日常公用经费支出19.23万元，占支出总额的10.11%；项目支出39.09万元，占支出总额的20.54%。</w:t>
      </w:r>
    </w:p>
    <w:p w14:paraId="60BAD6A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（二）部门财政拨款收支情况。</w:t>
      </w:r>
    </w:p>
    <w:p w14:paraId="0D545601">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_GB2312" w:cs="仿宋_GB2312"/>
          <w:color w:val="auto"/>
          <w:sz w:val="32"/>
          <w:szCs w:val="32"/>
          <w:highlight w:val="none"/>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1.部门财政拨款收入情况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自贡市红十字会总体收入为</w:t>
      </w:r>
      <w:r>
        <w:rPr>
          <w:rFonts w:hint="eastAsia" w:ascii="仿宋_GB2312" w:hAnsi="仿宋_GB2312" w:cs="仿宋_GB2312"/>
          <w:color w:val="auto"/>
          <w:sz w:val="32"/>
          <w:szCs w:val="32"/>
          <w:highlight w:val="none"/>
          <w:lang w:val="en-US" w:eastAsia="zh-CN"/>
        </w:rPr>
        <w:t>190.26万元，全部为财政拨款收入</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eastAsia="zh-CN"/>
        </w:rPr>
        <w:t>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eastAsia="zh-CN"/>
        </w:rPr>
        <w:t>财政拨款</w:t>
      </w:r>
      <w:r>
        <w:rPr>
          <w:rFonts w:hint="eastAsia" w:ascii="仿宋_GB2312" w:hAnsi="仿宋_GB2312" w:eastAsia="仿宋_GB2312" w:cs="仿宋_GB2312"/>
          <w:color w:val="auto"/>
          <w:sz w:val="32"/>
          <w:szCs w:val="32"/>
          <w:highlight w:val="none"/>
        </w:rPr>
        <w:t>收</w:t>
      </w:r>
      <w:r>
        <w:rPr>
          <w:rFonts w:hint="eastAsia" w:ascii="仿宋_GB2312" w:hAnsi="仿宋_GB2312" w:cs="仿宋_GB2312"/>
          <w:color w:val="auto"/>
          <w:sz w:val="32"/>
          <w:szCs w:val="32"/>
          <w:highlight w:val="none"/>
          <w:lang w:eastAsia="zh-CN"/>
        </w:rPr>
        <w:t>入</w:t>
      </w:r>
      <w:r>
        <w:rPr>
          <w:rFonts w:hint="eastAsia" w:ascii="仿宋_GB2312" w:hAnsi="仿宋_GB2312" w:cs="仿宋_GB2312"/>
          <w:color w:val="auto"/>
          <w:sz w:val="32"/>
          <w:szCs w:val="32"/>
          <w:highlight w:val="none"/>
          <w:lang w:val="en-US" w:eastAsia="zh-CN"/>
        </w:rPr>
        <w:t>增加56.02万元，增长41.73%</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val="en-US" w:eastAsia="zh-CN"/>
        </w:rPr>
        <w:t>2023年人员工资和公用经费增加，并增加了红十字改革及事业发展和红十字“救”在身边项目经费。</w:t>
      </w:r>
    </w:p>
    <w:p w14:paraId="64B93F7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b w:val="0"/>
          <w:bCs w:val="0"/>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2.部门财政拨款支出情况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3</w:t>
      </w:r>
      <w:r>
        <w:rPr>
          <w:rFonts w:hint="eastAsia" w:ascii="仿宋_GB2312" w:hAnsi="仿宋" w:eastAsia="仿宋_GB2312"/>
          <w:color w:val="auto"/>
          <w:sz w:val="32"/>
          <w:szCs w:val="32"/>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
          <w:color w:val="auto"/>
          <w:sz w:val="32"/>
          <w:szCs w:val="32"/>
          <w:lang w:eastAsia="zh-CN"/>
        </w:rPr>
        <w:t>总体</w:t>
      </w:r>
      <w:r>
        <w:rPr>
          <w:rFonts w:hint="eastAsia" w:ascii="仿宋_GB2312" w:hAnsi="仿宋"/>
          <w:color w:val="auto"/>
          <w:sz w:val="32"/>
          <w:szCs w:val="32"/>
          <w:lang w:val="en-US" w:eastAsia="zh-CN"/>
        </w:rPr>
        <w:t>支出</w:t>
      </w:r>
      <w:r>
        <w:rPr>
          <w:rFonts w:hint="eastAsia" w:ascii="仿宋_GB2312" w:hAnsi="仿宋" w:cs="仿宋"/>
          <w:color w:val="auto"/>
          <w:sz w:val="32"/>
          <w:szCs w:val="32"/>
          <w:lang w:val="en-US" w:eastAsia="zh-CN"/>
        </w:rPr>
        <w:t>190.26</w:t>
      </w:r>
      <w:r>
        <w:rPr>
          <w:rFonts w:hint="eastAsia" w:ascii="仿宋_GB2312" w:hAnsi="仿宋" w:eastAsia="仿宋_GB2312" w:cs="仿宋"/>
          <w:color w:val="auto"/>
          <w:sz w:val="32"/>
          <w:szCs w:val="32"/>
        </w:rPr>
        <w:t>万元</w:t>
      </w:r>
      <w:r>
        <w:rPr>
          <w:rFonts w:hint="eastAsia" w:ascii="仿宋_GB2312" w:hAnsi="仿宋" w:eastAsia="仿宋_GB2312"/>
          <w:color w:val="auto"/>
          <w:sz w:val="32"/>
          <w:szCs w:val="32"/>
        </w:rPr>
        <w:t>，</w:t>
      </w:r>
      <w:r>
        <w:rPr>
          <w:rFonts w:hint="eastAsia" w:ascii="仿宋_GB2312" w:hAnsi="仿宋"/>
          <w:color w:val="auto"/>
          <w:sz w:val="32"/>
          <w:szCs w:val="32"/>
          <w:lang w:eastAsia="zh-CN"/>
        </w:rPr>
        <w:t>全部为财政拨款支出，较</w:t>
      </w:r>
      <w:r>
        <w:rPr>
          <w:rFonts w:hint="eastAsia" w:ascii="仿宋_GB2312" w:hAnsi="仿宋"/>
          <w:color w:val="auto"/>
          <w:sz w:val="32"/>
          <w:szCs w:val="32"/>
          <w:lang w:val="en-US" w:eastAsia="zh-CN"/>
        </w:rPr>
        <w:t>2022年</w:t>
      </w:r>
      <w:r>
        <w:rPr>
          <w:rFonts w:hint="eastAsia" w:ascii="仿宋_GB2312" w:hAnsi="仿宋_GB2312" w:cs="仿宋_GB2312"/>
          <w:color w:val="auto"/>
          <w:sz w:val="32"/>
          <w:szCs w:val="32"/>
          <w:highlight w:val="none"/>
          <w:lang w:val="en-US" w:eastAsia="zh-CN"/>
        </w:rPr>
        <w:t>增加56.02万元，增长41.73%</w:t>
      </w:r>
      <w:r>
        <w:rPr>
          <w:rFonts w:hint="eastAsia" w:ascii="仿宋_GB2312" w:hAnsi="仿宋" w:cs="Times New Roman"/>
          <w:sz w:val="32"/>
          <w:szCs w:val="32"/>
          <w:lang w:eastAsia="zh-CN"/>
        </w:rPr>
        <w:t>。</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cs="仿宋_GB2312"/>
          <w:color w:val="auto"/>
          <w:sz w:val="32"/>
          <w:szCs w:val="32"/>
          <w:highlight w:val="none"/>
          <w:lang w:val="en-US" w:eastAsia="zh-CN"/>
        </w:rPr>
        <w:t>2023年人员工资和公用经费增加，并增加了红十字改革及事业发展和红十字“救”在身边项目经费等支出。其中：人员经费支出131.94万元，占支出总额的69.35%；日常公用经费支出19.23万元，占支出总额的10.11%；项目支出39.09万元，占支出总额的20.54%。</w:t>
      </w:r>
    </w:p>
    <w:p w14:paraId="0EE952E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部门整体绩效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1A4B980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（一）部门预算项目绩效分析。</w:t>
      </w:r>
    </w:p>
    <w:p w14:paraId="4896574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ascii="仿宋_GB2312" w:hAnsi="仿宋_GB2312" w:eastAsia="仿宋_GB2312" w:cs="仿宋_GB2312"/>
          <w:b/>
          <w:bCs/>
          <w:color w:val="000000"/>
          <w:kern w:val="0"/>
          <w:sz w:val="32"/>
          <w:szCs w:val="32"/>
          <w:highlight w:val="none"/>
          <w:shd w:val="clear" w:color="auto" w:fill="FFFFFF"/>
          <w:lang w:val="en-US" w:eastAsia="zh-CN"/>
        </w:rPr>
        <w:t>1.人员类项目绩效分析。</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zh-CN"/>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szCs w:val="32"/>
          <w:lang w:val="zh-CN"/>
        </w:rPr>
        <w:t>财政拨款</w:t>
      </w:r>
      <w:r>
        <w:rPr>
          <w:rFonts w:hint="eastAsia" w:ascii="仿宋_GB2312" w:hAnsi="仿宋_GB2312" w:cs="仿宋_GB2312"/>
          <w:szCs w:val="32"/>
          <w:lang w:val="zh-CN"/>
        </w:rPr>
        <w:t>人员经费收入</w:t>
      </w:r>
      <w:r>
        <w:rPr>
          <w:rFonts w:hint="eastAsia" w:ascii="仿宋_GB2312" w:hAnsi="仿宋_GB2312" w:cs="仿宋_GB2312"/>
          <w:color w:val="auto"/>
          <w:sz w:val="32"/>
          <w:szCs w:val="32"/>
          <w:highlight w:val="none"/>
          <w:lang w:val="en-US" w:eastAsia="zh-CN"/>
        </w:rPr>
        <w:t>131.94</w:t>
      </w:r>
      <w:r>
        <w:rPr>
          <w:rFonts w:hint="eastAsia" w:ascii="仿宋_GB2312" w:hAnsi="仿宋_GB2312" w:cs="仿宋_GB2312"/>
          <w:szCs w:val="32"/>
          <w:lang w:val="en-US" w:eastAsia="zh-CN"/>
        </w:rPr>
        <w:t>万元，全部纳入</w:t>
      </w:r>
      <w:r>
        <w:rPr>
          <w:rFonts w:hint="eastAsia" w:ascii="仿宋_GB2312" w:hAnsi="仿宋_GB2312" w:eastAsia="仿宋_GB2312" w:cs="仿宋_GB2312"/>
          <w:szCs w:val="32"/>
          <w:lang w:val="zh-CN"/>
        </w:rPr>
        <w:t>一般公共预算</w:t>
      </w:r>
      <w:r>
        <w:rPr>
          <w:rFonts w:hint="eastAsia" w:ascii="仿宋_GB2312" w:hAnsi="仿宋_GB2312" w:cs="仿宋_GB2312"/>
          <w:szCs w:val="32"/>
          <w:lang w:val="zh-CN"/>
        </w:rPr>
        <w:t>准确编列。</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zh-CN"/>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szCs w:val="32"/>
          <w:lang w:val="zh-CN"/>
        </w:rPr>
        <w:t>财政拨款</w:t>
      </w:r>
      <w:r>
        <w:rPr>
          <w:rFonts w:hint="eastAsia" w:ascii="仿宋_GB2312" w:hAnsi="仿宋_GB2312" w:cs="仿宋_GB2312"/>
          <w:szCs w:val="32"/>
          <w:lang w:val="zh-CN"/>
        </w:rPr>
        <w:t>人员经费支出</w:t>
      </w:r>
      <w:r>
        <w:rPr>
          <w:rFonts w:hint="eastAsia" w:ascii="仿宋_GB2312" w:hAnsi="仿宋_GB2312" w:cs="仿宋_GB2312"/>
          <w:color w:val="auto"/>
          <w:sz w:val="32"/>
          <w:szCs w:val="32"/>
          <w:highlight w:val="none"/>
          <w:lang w:val="en-US" w:eastAsia="zh-CN"/>
        </w:rPr>
        <w:t>131.94</w:t>
      </w:r>
      <w:r>
        <w:rPr>
          <w:rFonts w:hint="eastAsia" w:ascii="仿宋_GB2312" w:hAnsi="仿宋_GB2312" w:cs="仿宋_GB2312"/>
          <w:szCs w:val="32"/>
          <w:lang w:val="en-US" w:eastAsia="zh-CN"/>
        </w:rPr>
        <w:t>万元，</w:t>
      </w:r>
      <w:r>
        <w:rPr>
          <w:rFonts w:hint="eastAsia" w:ascii="仿宋_GB2312" w:hAnsi="仿宋_GB2312" w:eastAsia="仿宋_GB2312" w:cs="仿宋_GB2312"/>
          <w:szCs w:val="32"/>
          <w:lang w:val="zh-CN"/>
        </w:rPr>
        <w:t>主要包括：基本工资、津贴补贴、奖金、机关事业单位基本养老保险缴费、职工基本医疗缴费、</w:t>
      </w:r>
      <w:r>
        <w:rPr>
          <w:rFonts w:hint="eastAsia" w:ascii="仿宋_GB2312" w:hAnsi="仿宋_GB2312" w:cs="仿宋_GB2312"/>
          <w:szCs w:val="32"/>
          <w:lang w:val="zh-CN"/>
        </w:rPr>
        <w:t>公务员医疗补助缴费、</w:t>
      </w:r>
      <w:r>
        <w:rPr>
          <w:rFonts w:hint="eastAsia" w:ascii="仿宋_GB2312" w:hAnsi="仿宋_GB2312" w:eastAsia="仿宋_GB2312" w:cs="仿宋_GB2312"/>
          <w:szCs w:val="32"/>
          <w:lang w:val="zh-CN"/>
        </w:rPr>
        <w:t>其他社会保障缴费、住房公积金、其他工资福利支出</w:t>
      </w:r>
      <w:r>
        <w:rPr>
          <w:rFonts w:hint="eastAsia" w:ascii="仿宋_GB2312" w:hAnsi="仿宋_GB2312" w:cs="仿宋_GB2312"/>
          <w:szCs w:val="32"/>
          <w:lang w:val="zh-CN"/>
        </w:rPr>
        <w:t>、退休费等</w:t>
      </w:r>
      <w:r>
        <w:rPr>
          <w:rFonts w:hint="eastAsia" w:ascii="仿宋_GB2312" w:hAnsi="仿宋_GB2312" w:eastAsia="仿宋_GB2312" w:cs="仿宋_GB2312"/>
          <w:szCs w:val="32"/>
          <w:lang w:val="zh-CN"/>
        </w:rPr>
        <w:t>。</w:t>
      </w:r>
      <w:r>
        <w:rPr>
          <w:rFonts w:hint="eastAsia" w:ascii="仿宋_GB2312" w:hAnsi="仿宋_GB2312" w:cs="仿宋_GB2312"/>
          <w:szCs w:val="32"/>
          <w:lang w:val="zh-CN"/>
        </w:rPr>
        <w:t>全部按规定做到足额拨付，确保全体干部职工应享受工资福利待遇得到保障。</w:t>
      </w:r>
    </w:p>
    <w:p w14:paraId="56608AB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default" w:ascii="仿宋_GB2312" w:hAnsi="仿宋_GB2312" w:eastAsia="仿宋_GB2312" w:cs="仿宋_GB2312"/>
          <w:b/>
          <w:bCs/>
          <w:color w:val="000000"/>
          <w:kern w:val="0"/>
          <w:sz w:val="32"/>
          <w:szCs w:val="32"/>
          <w:highlight w:val="none"/>
          <w:shd w:val="clear" w:color="auto" w:fill="FFFFFF"/>
          <w:lang w:val="en-US" w:eastAsia="zh-CN"/>
        </w:rPr>
      </w:pPr>
      <w:r>
        <w:rPr>
          <w:rFonts w:hint="default" w:ascii="仿宋_GB2312" w:hAnsi="仿宋_GB2312" w:eastAsia="仿宋_GB2312" w:cs="仿宋_GB2312"/>
          <w:b/>
          <w:bCs/>
          <w:color w:val="000000"/>
          <w:kern w:val="0"/>
          <w:sz w:val="32"/>
          <w:szCs w:val="32"/>
          <w:highlight w:val="none"/>
          <w:shd w:val="clear" w:color="auto" w:fill="FFFFFF"/>
          <w:lang w:val="en-US" w:eastAsia="zh-CN"/>
        </w:rPr>
        <w:t>2.运转类项目绩效分析</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zh-CN"/>
        </w:rPr>
        <w:t>年</w:t>
      </w:r>
      <w:r>
        <w:rPr>
          <w:rFonts w:hint="eastAsia" w:ascii="仿宋_GB2312" w:hAnsi="仿宋_GB2312" w:cs="仿宋_GB2312"/>
          <w:color w:val="auto"/>
          <w:sz w:val="32"/>
          <w:szCs w:val="32"/>
          <w:highlight w:val="none"/>
          <w:lang w:eastAsia="zh-CN"/>
        </w:rPr>
        <w:t>自贡市红十字会</w:t>
      </w:r>
      <w:r>
        <w:rPr>
          <w:rFonts w:hint="eastAsia" w:ascii="仿宋_GB2312" w:hAnsi="仿宋_GB2312" w:eastAsia="仿宋_GB2312" w:cs="仿宋_GB2312"/>
          <w:szCs w:val="32"/>
          <w:lang w:val="zh-CN"/>
        </w:rPr>
        <w:t>财政拨款</w:t>
      </w:r>
      <w:r>
        <w:rPr>
          <w:rFonts w:hint="eastAsia" w:ascii="仿宋_GB2312" w:hAnsi="仿宋" w:eastAsia="仿宋_GB2312"/>
          <w:color w:val="auto"/>
          <w:sz w:val="32"/>
          <w:szCs w:val="32"/>
        </w:rPr>
        <w:t>日常公用经费</w:t>
      </w:r>
      <w:r>
        <w:rPr>
          <w:rFonts w:hint="eastAsia" w:ascii="仿宋_GB2312" w:hAnsi="仿宋"/>
          <w:color w:val="auto"/>
          <w:sz w:val="32"/>
          <w:szCs w:val="32"/>
          <w:lang w:eastAsia="zh-CN"/>
        </w:rPr>
        <w:t>支出</w:t>
      </w:r>
      <w:r>
        <w:rPr>
          <w:rFonts w:hint="eastAsia" w:ascii="仿宋_GB2312" w:hAnsi="仿宋" w:cs="仿宋"/>
          <w:color w:val="auto"/>
          <w:sz w:val="32"/>
          <w:szCs w:val="32"/>
          <w:lang w:val="en-US" w:eastAsia="zh-CN"/>
        </w:rPr>
        <w:t>19.23</w:t>
      </w:r>
      <w:r>
        <w:rPr>
          <w:rFonts w:hint="eastAsia" w:ascii="仿宋_GB2312" w:hAnsi="仿宋" w:eastAsia="仿宋_GB2312"/>
          <w:color w:val="auto"/>
          <w:sz w:val="32"/>
          <w:szCs w:val="32"/>
        </w:rPr>
        <w:t>万元</w:t>
      </w:r>
      <w:r>
        <w:rPr>
          <w:rFonts w:hint="eastAsia" w:ascii="仿宋_GB2312" w:hAnsi="仿宋"/>
          <w:color w:val="auto"/>
          <w:sz w:val="32"/>
          <w:szCs w:val="32"/>
          <w:lang w:eastAsia="zh-CN"/>
        </w:rPr>
        <w:t>，较</w:t>
      </w:r>
      <w:r>
        <w:rPr>
          <w:rFonts w:hint="eastAsia" w:ascii="仿宋_GB2312" w:hAnsi="仿宋"/>
          <w:color w:val="auto"/>
          <w:sz w:val="32"/>
          <w:szCs w:val="32"/>
          <w:lang w:val="en-US" w:eastAsia="zh-CN"/>
        </w:rPr>
        <w:t>2022年增加33.54%，主要</w:t>
      </w:r>
      <w:r>
        <w:rPr>
          <w:rFonts w:hint="eastAsia" w:ascii="仿宋_GB2312" w:hAnsi="仿宋_GB2312" w:eastAsia="仿宋_GB2312" w:cs="仿宋_GB2312"/>
          <w:color w:val="auto"/>
          <w:sz w:val="32"/>
          <w:szCs w:val="32"/>
          <w:highlight w:val="none"/>
        </w:rPr>
        <w:t>是</w:t>
      </w:r>
      <w:r>
        <w:rPr>
          <w:rFonts w:hint="eastAsia" w:ascii="仿宋_GB2312" w:hAnsi="仿宋_GB2312" w:cs="仿宋_GB2312"/>
          <w:color w:val="auto"/>
          <w:sz w:val="32"/>
          <w:szCs w:val="32"/>
          <w:highlight w:val="none"/>
          <w:lang w:val="en-US" w:eastAsia="zh-CN"/>
        </w:rPr>
        <w:t>2023年推进红十字事业高质量发展，工作业务量增加，公用经费增加</w:t>
      </w:r>
      <w:r>
        <w:rPr>
          <w:rFonts w:hint="eastAsia" w:ascii="仿宋_GB2312" w:hAnsi="仿宋"/>
          <w:color w:val="auto"/>
          <w:sz w:val="32"/>
          <w:szCs w:val="32"/>
          <w:lang w:eastAsia="zh-CN"/>
        </w:rPr>
        <w:t>；其他运转类项目支出</w:t>
      </w:r>
      <w:r>
        <w:rPr>
          <w:rFonts w:hint="eastAsia" w:ascii="仿宋_GB2312" w:hAnsi="仿宋"/>
          <w:color w:val="auto"/>
          <w:sz w:val="32"/>
          <w:szCs w:val="32"/>
          <w:lang w:val="en-US" w:eastAsia="zh-CN"/>
        </w:rPr>
        <w:t>8.09万元</w:t>
      </w:r>
      <w:r>
        <w:rPr>
          <w:rFonts w:hint="eastAsia" w:ascii="仿宋_GB2312" w:hAnsi="仿宋"/>
          <w:color w:val="auto"/>
          <w:sz w:val="32"/>
          <w:szCs w:val="32"/>
          <w:lang w:eastAsia="zh-CN"/>
        </w:rPr>
        <w:t>，较</w:t>
      </w:r>
      <w:r>
        <w:rPr>
          <w:rFonts w:hint="eastAsia" w:ascii="仿宋_GB2312" w:hAnsi="仿宋"/>
          <w:color w:val="auto"/>
          <w:sz w:val="32"/>
          <w:szCs w:val="32"/>
          <w:lang w:val="en-US" w:eastAsia="zh-CN"/>
        </w:rPr>
        <w:t>2022年减少10.11%，</w:t>
      </w:r>
      <w:r>
        <w:rPr>
          <w:rFonts w:hint="eastAsia" w:ascii="仿宋_GB2312" w:hAnsi="仿宋_GB2312" w:eastAsia="仿宋_GB2312" w:cs="仿宋_GB2312"/>
          <w:color w:val="auto"/>
          <w:sz w:val="32"/>
          <w:szCs w:val="32"/>
          <w:highlight w:val="none"/>
        </w:rPr>
        <w:t>主要是</w:t>
      </w:r>
      <w:r>
        <w:rPr>
          <w:rFonts w:hint="eastAsia" w:ascii="仿宋_GB2312" w:hAnsi="仿宋_GB2312" w:cs="仿宋_GB2312"/>
          <w:color w:val="auto"/>
          <w:sz w:val="32"/>
          <w:szCs w:val="32"/>
          <w:highlight w:val="none"/>
          <w:lang w:val="en-US" w:eastAsia="zh-CN"/>
        </w:rPr>
        <w:t>进一步压减了红十字“三救”“三献”项目经费支出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上述日常公用经费和项目支出</w:t>
      </w:r>
      <w:r>
        <w:rPr>
          <w:rFonts w:hint="eastAsia" w:ascii="仿宋_GB2312" w:hAnsi="仿宋_GB2312" w:cs="仿宋_GB2312"/>
          <w:szCs w:val="32"/>
          <w:lang w:val="en-US" w:eastAsia="zh-CN"/>
        </w:rPr>
        <w:t>全部纳入</w:t>
      </w:r>
      <w:r>
        <w:rPr>
          <w:rFonts w:hint="eastAsia" w:ascii="仿宋_GB2312" w:hAnsi="仿宋_GB2312" w:eastAsia="仿宋_GB2312" w:cs="仿宋_GB2312"/>
          <w:szCs w:val="32"/>
          <w:lang w:val="zh-CN"/>
        </w:rPr>
        <w:t>一般公共预算</w:t>
      </w:r>
      <w:r>
        <w:rPr>
          <w:rFonts w:hint="eastAsia" w:ascii="仿宋_GB2312" w:hAnsi="仿宋_GB2312" w:cs="仿宋_GB2312"/>
          <w:szCs w:val="32"/>
          <w:lang w:val="zh-CN"/>
        </w:rPr>
        <w:t>科学编列。</w:t>
      </w:r>
      <w:r>
        <w:rPr>
          <w:rFonts w:hint="eastAsia" w:ascii="仿宋_GB2312" w:hAnsi="仿宋_GB2312" w:cs="仿宋_GB2312"/>
          <w:szCs w:val="32"/>
          <w:lang w:val="en-US" w:eastAsia="zh-CN"/>
        </w:rPr>
        <w:t>其中，日常公用经费支出</w:t>
      </w:r>
      <w:r>
        <w:rPr>
          <w:rFonts w:hint="eastAsia" w:ascii="仿宋_GB2312" w:hAnsi="仿宋_GB2312" w:eastAsia="仿宋_GB2312" w:cs="仿宋_GB2312"/>
          <w:szCs w:val="32"/>
          <w:lang w:val="zh-CN"/>
        </w:rPr>
        <w:t>主要包括：</w:t>
      </w:r>
      <w:r>
        <w:rPr>
          <w:rFonts w:hint="eastAsia" w:ascii="仿宋_GB2312" w:hAnsi="仿宋_GB2312" w:eastAsia="仿宋_GB2312" w:cs="仿宋_GB2312"/>
          <w:color w:val="auto"/>
          <w:sz w:val="32"/>
          <w:szCs w:val="32"/>
          <w:highlight w:val="none"/>
        </w:rPr>
        <w:t>办公费、邮电费、差旅费、维修（护）费、公务接待费、劳务费、委托业务费、工会经费、福利费、其他交通费、其他商品和服务支出等</w:t>
      </w:r>
      <w:r>
        <w:rPr>
          <w:rFonts w:hint="eastAsia" w:ascii="仿宋_GB2312" w:hAnsi="仿宋_GB2312" w:cs="仿宋_GB2312"/>
          <w:color w:val="auto"/>
          <w:sz w:val="32"/>
          <w:szCs w:val="32"/>
          <w:highlight w:val="none"/>
          <w:lang w:eastAsia="zh-CN"/>
        </w:rPr>
        <w:t>，全面保障机关</w:t>
      </w:r>
      <w:r>
        <w:rPr>
          <w:rFonts w:hint="eastAsia" w:ascii="Times New Roman" w:hAnsi="Times New Roman" w:cs="Times New Roman"/>
          <w:sz w:val="32"/>
          <w:szCs w:val="24"/>
          <w:lang w:val="zh-CN" w:eastAsia="zh-CN"/>
        </w:rPr>
        <w:t>各项工作的有序高效运转</w:t>
      </w:r>
      <w:r>
        <w:rPr>
          <w:rFonts w:hint="eastAsia" w:ascii="仿宋_GB2312" w:hAnsi="仿宋_GB2312" w:cs="仿宋_GB2312"/>
          <w:color w:val="auto"/>
          <w:sz w:val="32"/>
          <w:szCs w:val="32"/>
          <w:highlight w:val="none"/>
          <w:lang w:eastAsia="zh-CN"/>
        </w:rPr>
        <w:t>；</w:t>
      </w:r>
      <w:r>
        <w:rPr>
          <w:rFonts w:hint="eastAsia" w:ascii="仿宋_GB2312" w:hAnsi="仿宋"/>
          <w:color w:val="auto"/>
          <w:sz w:val="32"/>
          <w:szCs w:val="32"/>
          <w:lang w:eastAsia="zh-CN"/>
        </w:rPr>
        <w:t>其他运转类项目支出为红十字“三救”“三献”服务支出，有效保障市红十字会</w:t>
      </w:r>
      <w:r>
        <w:rPr>
          <w:rFonts w:hint="eastAsia" w:ascii="Times New Roman" w:hAnsi="Times New Roman" w:cs="Times New Roman"/>
          <w:sz w:val="32"/>
          <w:szCs w:val="24"/>
          <w:lang w:val="zh-CN" w:eastAsia="zh-CN"/>
        </w:rPr>
        <w:t>较好履行法律法规赋予的职能职责。</w:t>
      </w:r>
    </w:p>
    <w:p w14:paraId="7BEDECF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仿宋_GB2312" w:hAnsi="仿宋" w:cs="Times New Roman"/>
          <w:color w:val="auto"/>
          <w:sz w:val="32"/>
          <w:szCs w:val="32"/>
          <w:lang w:val="en-US" w:eastAsia="zh-CN"/>
        </w:rPr>
      </w:pPr>
      <w:r>
        <w:rPr>
          <w:rFonts w:hint="default" w:ascii="仿宋_GB2312" w:hAnsi="仿宋_GB2312" w:eastAsia="仿宋_GB2312" w:cs="仿宋_GB2312"/>
          <w:b/>
          <w:bCs/>
          <w:color w:val="000000"/>
          <w:kern w:val="0"/>
          <w:sz w:val="32"/>
          <w:szCs w:val="32"/>
          <w:highlight w:val="none"/>
          <w:shd w:val="clear" w:color="auto" w:fill="FFFFFF"/>
          <w:lang w:val="en-US" w:eastAsia="zh-CN"/>
        </w:rPr>
        <w:t>3.特定目标类项目绩效分析</w:t>
      </w:r>
      <w:r>
        <w:rPr>
          <w:rFonts w:hint="eastAsia" w:ascii="仿宋_GB2312" w:hAnsi="仿宋_GB2312" w:eastAsia="仿宋_GB2312" w:cs="仿宋_GB2312"/>
          <w:b/>
          <w:bCs/>
          <w:color w:val="000000"/>
          <w:kern w:val="0"/>
          <w:sz w:val="32"/>
          <w:szCs w:val="32"/>
          <w:highlight w:val="none"/>
          <w:shd w:val="clear" w:color="auto" w:fill="FFFFFF"/>
          <w:lang w:val="en-US" w:eastAsia="zh-CN"/>
        </w:rPr>
        <w:t>。</w:t>
      </w:r>
      <w:r>
        <w:rPr>
          <w:rFonts w:hint="eastAsia" w:ascii="仿宋_GB2312" w:hAnsi="仿宋" w:cs="Times New Roman"/>
          <w:color w:val="auto"/>
          <w:sz w:val="32"/>
          <w:szCs w:val="32"/>
          <w:lang w:val="en-US" w:eastAsia="zh-CN"/>
        </w:rPr>
        <w:t>2023</w:t>
      </w:r>
      <w:r>
        <w:rPr>
          <w:rFonts w:hint="eastAsia" w:ascii="仿宋_GB2312" w:hAnsi="仿宋" w:cs="Times New Roman"/>
          <w:color w:val="auto"/>
          <w:sz w:val="32"/>
          <w:szCs w:val="32"/>
          <w:lang w:val="zh-CN" w:eastAsia="zh-CN"/>
        </w:rPr>
        <w:t>年</w:t>
      </w:r>
      <w:r>
        <w:rPr>
          <w:rFonts w:hint="eastAsia" w:ascii="仿宋_GB2312" w:hAnsi="仿宋" w:cs="Times New Roman"/>
          <w:color w:val="auto"/>
          <w:sz w:val="32"/>
          <w:szCs w:val="32"/>
          <w:lang w:eastAsia="zh-CN"/>
        </w:rPr>
        <w:t>自贡市红十字会</w:t>
      </w:r>
      <w:r>
        <w:rPr>
          <w:rFonts w:hint="eastAsia" w:ascii="仿宋_GB2312" w:hAnsi="仿宋" w:cs="Times New Roman"/>
          <w:color w:val="auto"/>
          <w:sz w:val="32"/>
          <w:szCs w:val="32"/>
          <w:lang w:val="zh-CN" w:eastAsia="zh-CN"/>
        </w:rPr>
        <w:t>财政拨款</w:t>
      </w:r>
      <w:r>
        <w:rPr>
          <w:rFonts w:hint="eastAsia" w:ascii="仿宋_GB2312" w:hAnsi="仿宋" w:cs="Times New Roman"/>
          <w:color w:val="auto"/>
          <w:sz w:val="32"/>
          <w:szCs w:val="32"/>
          <w:lang w:val="en-US" w:eastAsia="zh-CN"/>
        </w:rPr>
        <w:t>特定目标类项目支出31万元，较2022年增加210%，主要2023年增加了红十字改革事业发展项目经费（一次性项目）和“博爱自贡”品牌体系建设经费。主要用于：开展“博爱自贡”品牌体系打造，推进红十字会改革，保障红十字会开展救援、救护、救助等。项目经费严格按规定科学列支，有效保障了各项救助活动的顺利开展，有力促进红十字会进一步发挥人道救援作用。</w:t>
      </w:r>
    </w:p>
    <w:p w14:paraId="3C32954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（二）部门整体履职绩效分析。</w:t>
      </w:r>
    </w:p>
    <w:p w14:paraId="59A250E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 w:eastAsia="仿宋_GB2312" w:cs="Times New Roman"/>
          <w:color w:val="auto"/>
          <w:kern w:val="2"/>
          <w:sz w:val="32"/>
          <w:szCs w:val="32"/>
          <w:lang w:val="en-US" w:eastAsia="zh-CN" w:bidi="ar-SA"/>
        </w:rPr>
      </w:pPr>
      <w:r>
        <w:rPr>
          <w:rFonts w:hint="eastAsia" w:ascii="仿宋_GB2312" w:hAnsi="仿宋" w:eastAsia="仿宋_GB2312" w:cs="Times New Roman"/>
          <w:color w:val="auto"/>
          <w:kern w:val="2"/>
          <w:sz w:val="32"/>
          <w:szCs w:val="32"/>
          <w:lang w:val="en-US" w:eastAsia="zh-CN" w:bidi="ar-SA"/>
        </w:rPr>
        <w:t>202</w:t>
      </w:r>
      <w:r>
        <w:rPr>
          <w:rFonts w:hint="eastAsia" w:ascii="仿宋_GB2312" w:hAnsi="仿宋" w:cs="Times New Roman"/>
          <w:color w:val="auto"/>
          <w:kern w:val="2"/>
          <w:sz w:val="32"/>
          <w:szCs w:val="32"/>
          <w:lang w:val="en-US" w:eastAsia="zh-CN" w:bidi="ar-SA"/>
        </w:rPr>
        <w:t>3</w:t>
      </w:r>
      <w:r>
        <w:rPr>
          <w:rFonts w:hint="eastAsia" w:ascii="仿宋_GB2312" w:hAnsi="仿宋" w:eastAsia="仿宋_GB2312" w:cs="Times New Roman"/>
          <w:color w:val="auto"/>
          <w:kern w:val="2"/>
          <w:sz w:val="32"/>
          <w:szCs w:val="32"/>
          <w:lang w:val="en-US" w:eastAsia="zh-CN" w:bidi="ar-SA"/>
        </w:rPr>
        <w:t>年，自贡市红十字会在省红十字会的精心指导下，在市委、市政府的坚强领导下，以习近平新时代中国特色社会主义思想为指导，紧扣市委、市政府和省红十字会工作部署，全力参与疫情防控、统筹推进“三救</w:t>
      </w:r>
      <w:r>
        <w:rPr>
          <w:rFonts w:hint="eastAsia" w:ascii="仿宋_GB2312" w:hAnsi="仿宋" w:cs="Times New Roman"/>
          <w:color w:val="auto"/>
          <w:kern w:val="2"/>
          <w:sz w:val="32"/>
          <w:szCs w:val="32"/>
          <w:lang w:val="en-US" w:eastAsia="zh-CN" w:bidi="ar-SA"/>
        </w:rPr>
        <w:t>”“</w:t>
      </w:r>
      <w:r>
        <w:rPr>
          <w:rFonts w:hint="eastAsia" w:ascii="仿宋_GB2312" w:hAnsi="仿宋" w:eastAsia="仿宋_GB2312" w:cs="Times New Roman"/>
          <w:color w:val="auto"/>
          <w:kern w:val="2"/>
          <w:sz w:val="32"/>
          <w:szCs w:val="32"/>
          <w:lang w:val="en-US" w:eastAsia="zh-CN" w:bidi="ar-SA"/>
        </w:rPr>
        <w:t>三献”核心业务，有序开展志愿服务、红十字青少年等工作。严格遵守财经纪律，</w:t>
      </w:r>
      <w:r>
        <w:rPr>
          <w:rFonts w:hint="eastAsia" w:ascii="仿宋_GB2312" w:hAnsi="仿宋" w:cs="Times New Roman"/>
          <w:color w:val="auto"/>
          <w:kern w:val="2"/>
          <w:sz w:val="32"/>
          <w:szCs w:val="32"/>
          <w:lang w:val="en-US" w:eastAsia="zh-CN" w:bidi="ar-SA"/>
        </w:rPr>
        <w:t>按照“花钱必问效”原则，持续加强预算绩效管理，</w:t>
      </w:r>
      <w:r>
        <w:rPr>
          <w:rFonts w:hint="eastAsia" w:ascii="仿宋_GB2312" w:hAnsi="仿宋" w:eastAsia="仿宋_GB2312" w:cs="Times New Roman"/>
          <w:color w:val="auto"/>
          <w:kern w:val="2"/>
          <w:sz w:val="32"/>
          <w:szCs w:val="32"/>
          <w:lang w:val="en-US" w:eastAsia="zh-CN" w:bidi="ar-SA"/>
        </w:rPr>
        <w:t>规范使用财政资金，</w:t>
      </w:r>
      <w:r>
        <w:rPr>
          <w:rFonts w:hint="eastAsia" w:ascii="仿宋_GB2312" w:hAnsi="仿宋" w:cs="Times New Roman"/>
          <w:color w:val="auto"/>
          <w:kern w:val="2"/>
          <w:sz w:val="32"/>
          <w:szCs w:val="32"/>
          <w:lang w:val="en-US" w:eastAsia="zh-CN" w:bidi="ar-SA"/>
        </w:rPr>
        <w:t>确保了机关正常运转，保障年度</w:t>
      </w:r>
      <w:r>
        <w:rPr>
          <w:rFonts w:hint="eastAsia" w:ascii="仿宋_GB2312" w:hAnsi="仿宋" w:eastAsia="仿宋_GB2312" w:cs="Times New Roman"/>
          <w:color w:val="auto"/>
          <w:kern w:val="2"/>
          <w:sz w:val="32"/>
          <w:szCs w:val="32"/>
          <w:lang w:val="en-US" w:eastAsia="zh-CN" w:bidi="ar-SA"/>
        </w:rPr>
        <w:t>各项重点工作取得良好成效，全市红十字事业发展迈上新台阶。</w:t>
      </w:r>
    </w:p>
    <w:p w14:paraId="2BBB06F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（三）结果应用情况。</w:t>
      </w:r>
    </w:p>
    <w:p w14:paraId="71DB486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宋体" w:eastAsia="仿宋_GB2312" w:cs="宋体"/>
          <w:color w:val="000000"/>
          <w:kern w:val="0"/>
          <w:sz w:val="32"/>
          <w:szCs w:val="32"/>
          <w:highlight w:val="none"/>
          <w:shd w:val="clear" w:color="auto" w:fill="FFFFFF"/>
          <w:lang w:val="zh-CN"/>
        </w:rPr>
      </w:pPr>
      <w:r>
        <w:rPr>
          <w:rFonts w:hint="eastAsia" w:ascii="仿宋_GB2312" w:hAnsi="仿宋_GB2312" w:cs="仿宋_GB2312"/>
          <w:szCs w:val="32"/>
          <w:lang w:eastAsia="zh-CN"/>
        </w:rPr>
        <w:t>自贡市红十字会</w:t>
      </w:r>
      <w:r>
        <w:rPr>
          <w:rFonts w:hint="eastAsia" w:ascii="仿宋_GB2312" w:hAnsi="仿宋_GB2312" w:cs="仿宋_GB2312"/>
          <w:szCs w:val="32"/>
        </w:rPr>
        <w:t>从预算编制、预算执行、综合管理、整体效益等方面如实对20</w:t>
      </w:r>
      <w:r>
        <w:rPr>
          <w:rFonts w:hint="eastAsia" w:ascii="仿宋_GB2312" w:hAnsi="仿宋_GB2312" w:cs="仿宋_GB2312"/>
          <w:szCs w:val="32"/>
          <w:lang w:val="en-US" w:eastAsia="zh-CN"/>
        </w:rPr>
        <w:t>23</w:t>
      </w:r>
      <w:r>
        <w:rPr>
          <w:rFonts w:hint="eastAsia" w:ascii="仿宋_GB2312" w:hAnsi="仿宋_GB2312" w:cs="仿宋_GB2312"/>
          <w:szCs w:val="32"/>
        </w:rPr>
        <w:t>年</w:t>
      </w:r>
      <w:r>
        <w:rPr>
          <w:rFonts w:hint="eastAsia" w:ascii="仿宋_GB2312" w:hAnsi="仿宋_GB2312" w:cs="仿宋_GB2312"/>
          <w:bCs/>
          <w:szCs w:val="32"/>
        </w:rPr>
        <w:t>部门整体支出绩效</w:t>
      </w:r>
      <w:r>
        <w:rPr>
          <w:rFonts w:hint="eastAsia" w:ascii="仿宋_GB2312" w:hAnsi="仿宋_GB2312" w:cs="仿宋_GB2312"/>
          <w:szCs w:val="32"/>
        </w:rPr>
        <w:t>情况</w:t>
      </w:r>
      <w:r>
        <w:rPr>
          <w:rFonts w:hint="eastAsia" w:ascii="仿宋_GB2312" w:hAnsi="仿宋_GB2312" w:cs="仿宋_GB2312"/>
          <w:szCs w:val="32"/>
          <w:lang w:eastAsia="zh-CN"/>
        </w:rPr>
        <w:t>开展</w:t>
      </w:r>
      <w:r>
        <w:rPr>
          <w:rFonts w:hint="eastAsia" w:ascii="仿宋_GB2312" w:hAnsi="仿宋_GB2312" w:cs="仿宋_GB2312"/>
          <w:szCs w:val="32"/>
        </w:rPr>
        <w:t>自评。</w:t>
      </w:r>
      <w:r>
        <w:rPr>
          <w:rFonts w:hint="eastAsia" w:ascii="仿宋_GB2312" w:hAnsi="仿宋_GB2312" w:cs="仿宋_GB2312"/>
          <w:szCs w:val="32"/>
          <w:lang w:eastAsia="zh-CN"/>
        </w:rPr>
        <w:t>对存在的不足在机关内部进行通报，督促相关科室及人员引起重视，并在</w:t>
      </w:r>
      <w:r>
        <w:rPr>
          <w:rFonts w:hint="eastAsia" w:ascii="仿宋_GB2312" w:hAnsi="仿宋_GB2312" w:cs="仿宋_GB2312"/>
          <w:szCs w:val="32"/>
          <w:lang w:val="en-US" w:eastAsia="zh-CN"/>
        </w:rPr>
        <w:t>2024年预算编制和预算执行过程中予以</w:t>
      </w:r>
      <w:r>
        <w:rPr>
          <w:rFonts w:hint="eastAsia" w:ascii="仿宋_GB2312" w:hAnsi="仿宋_GB2312" w:cs="仿宋_GB2312"/>
          <w:szCs w:val="32"/>
          <w:lang w:eastAsia="zh-CN"/>
        </w:rPr>
        <w:t>纠正</w:t>
      </w:r>
      <w:r>
        <w:rPr>
          <w:rFonts w:hint="eastAsia" w:ascii="仿宋_GB2312" w:hAnsi="仿宋_GB2312" w:cs="仿宋_GB2312"/>
          <w:szCs w:val="32"/>
        </w:rPr>
        <w:t>。</w:t>
      </w:r>
      <w:r>
        <w:rPr>
          <w:rFonts w:hint="eastAsia" w:ascii="仿宋_GB2312" w:hAnsi="仿宋_GB2312" w:cs="仿宋_GB2312"/>
          <w:szCs w:val="32"/>
          <w:lang w:eastAsia="zh-CN"/>
        </w:rPr>
        <w:t>坚持运用好绩效自评结果，</w:t>
      </w:r>
      <w:r>
        <w:rPr>
          <w:rFonts w:hint="eastAsia" w:ascii="仿宋_GB2312" w:hAnsi="仿宋" w:cs="仿宋_GB2312"/>
          <w:szCs w:val="32"/>
        </w:rPr>
        <w:t>分析部门预算执行中存在的问题，制定相应的整改措施，优化绩效评价方法，提高绩效管理水平，</w:t>
      </w:r>
      <w:r>
        <w:rPr>
          <w:rFonts w:hint="eastAsia" w:ascii="仿宋_GB2312" w:hAnsi="仿宋" w:cs="仿宋"/>
          <w:szCs w:val="32"/>
        </w:rPr>
        <w:t>不断强化绩效理念，推动整体绩效管理水平不断提升。将项目设定绩效目标与内部绩效考核和目标任务下达相结合，实行奖惩兑现，进一步</w:t>
      </w:r>
      <w:r>
        <w:rPr>
          <w:rFonts w:hint="eastAsia" w:ascii="仿宋_GB2312" w:hAnsi="仿宋" w:cs="仿宋"/>
          <w:szCs w:val="32"/>
          <w:lang w:eastAsia="zh-CN"/>
        </w:rPr>
        <w:t>确保高质量</w:t>
      </w:r>
      <w:r>
        <w:rPr>
          <w:rFonts w:hint="eastAsia" w:ascii="仿宋_GB2312" w:hAnsi="仿宋" w:cs="仿宋"/>
          <w:szCs w:val="32"/>
        </w:rPr>
        <w:t>实现项目绩效目标。</w:t>
      </w:r>
    </w:p>
    <w:p w14:paraId="0BA4FB7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楷体_GB2312" w:cs="Times New Roman"/>
          <w:b w:val="0"/>
          <w:bCs w:val="0"/>
          <w:color w:val="000000"/>
          <w:kern w:val="0"/>
          <w:sz w:val="32"/>
          <w:szCs w:val="32"/>
          <w:highlight w:val="none"/>
          <w:shd w:val="clear" w:color="auto" w:fill="FFFFFF"/>
          <w:lang w:val="zh-CN"/>
        </w:rPr>
      </w:pPr>
      <w:r>
        <w:rPr>
          <w:rFonts w:hint="default" w:ascii="Times New Roman" w:hAnsi="Times New Roman" w:eastAsia="楷体_GB2312" w:cs="Times New Roman"/>
          <w:b w:val="0"/>
          <w:bCs w:val="0"/>
          <w:color w:val="000000"/>
          <w:kern w:val="0"/>
          <w:sz w:val="32"/>
          <w:szCs w:val="32"/>
          <w:highlight w:val="none"/>
          <w:shd w:val="clear" w:color="auto" w:fill="FFFFFF"/>
          <w:lang w:val="zh-CN"/>
        </w:rPr>
        <w:t>（</w:t>
      </w:r>
      <w:r>
        <w:rPr>
          <w:rFonts w:hint="default" w:ascii="Times New Roman" w:hAnsi="Times New Roman" w:eastAsia="楷体_GB2312" w:cs="Times New Roman"/>
          <w:b w:val="0"/>
          <w:bCs w:val="0"/>
          <w:color w:val="000000"/>
          <w:kern w:val="0"/>
          <w:sz w:val="32"/>
          <w:szCs w:val="32"/>
          <w:highlight w:val="none"/>
          <w:shd w:val="clear" w:color="auto" w:fill="FFFFFF"/>
          <w:lang w:val="en-US" w:eastAsia="zh-CN"/>
        </w:rPr>
        <w:t>四</w:t>
      </w:r>
      <w:r>
        <w:rPr>
          <w:rFonts w:hint="default" w:ascii="Times New Roman" w:hAnsi="Times New Roman" w:eastAsia="楷体_GB2312" w:cs="Times New Roman"/>
          <w:b w:val="0"/>
          <w:bCs w:val="0"/>
          <w:color w:val="000000"/>
          <w:kern w:val="0"/>
          <w:sz w:val="32"/>
          <w:szCs w:val="32"/>
          <w:highlight w:val="none"/>
          <w:shd w:val="clear" w:color="auto" w:fill="FFFFFF"/>
          <w:lang w:val="zh-CN"/>
        </w:rPr>
        <w:t>）自评质量。</w:t>
      </w:r>
    </w:p>
    <w:p w14:paraId="4C40A2C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仿宋_GB2312" w:hAnsi="Times New Roman" w:cs="Times New Roman"/>
          <w:kern w:val="2"/>
          <w:sz w:val="32"/>
          <w:szCs w:val="32"/>
          <w:highlight w:val="none"/>
          <w:lang w:val="en-US" w:eastAsia="zh-CN" w:bidi="ar-SA"/>
        </w:rPr>
      </w:pPr>
      <w:r>
        <w:rPr>
          <w:rFonts w:hint="eastAsia" w:ascii="仿宋_GB2312" w:hAnsi="Times New Roman" w:cs="Times New Roman"/>
          <w:kern w:val="2"/>
          <w:sz w:val="32"/>
          <w:szCs w:val="32"/>
          <w:highlight w:val="none"/>
          <w:lang w:val="en-US" w:eastAsia="zh-CN" w:bidi="ar-SA"/>
        </w:rPr>
        <w:t>自贡市红十字会高度重视预算绩效自评工作，坚持“全覆盖”“重质效”原则，坚持问题导向，对2023年部门预算执行按基本支出和项目支出全面开展绩效自评。从总体情况来看，自贡市红十字会开展的部门整体支出绩效自评符合客观事实，准确反映了部门预算执行总体情况，自评质量较好。</w:t>
      </w:r>
    </w:p>
    <w:p w14:paraId="3D43342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四、评价结论及建议</w:t>
      </w:r>
    </w:p>
    <w:p w14:paraId="0F51664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（一）评价结论</w:t>
      </w:r>
    </w:p>
    <w:p w14:paraId="012F76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仿宋_GB2312" w:hAnsi="仿宋" w:cs="仿宋_GB2312"/>
          <w:szCs w:val="32"/>
          <w:lang w:eastAsia="zh-CN"/>
        </w:rPr>
        <w:t>从整体绩效评价来看</w:t>
      </w:r>
      <w:r>
        <w:rPr>
          <w:rFonts w:hint="eastAsia" w:ascii="仿宋_GB2312" w:hAnsi="仿宋" w:cs="仿宋_GB2312"/>
          <w:szCs w:val="32"/>
        </w:rPr>
        <w:t>，</w:t>
      </w:r>
      <w:r>
        <w:rPr>
          <w:rFonts w:hint="eastAsia" w:ascii="仿宋_GB2312" w:hAnsi="仿宋" w:cs="仿宋_GB2312"/>
          <w:szCs w:val="32"/>
          <w:lang w:eastAsia="zh-CN"/>
        </w:rPr>
        <w:t>自贡市红十字会</w:t>
      </w:r>
      <w:r>
        <w:rPr>
          <w:rFonts w:hint="eastAsia" w:ascii="仿宋_GB2312" w:hAnsi="仿宋" w:cs="仿宋_GB2312"/>
          <w:szCs w:val="32"/>
        </w:rPr>
        <w:t>能够统筹兼顾、保障了</w:t>
      </w:r>
      <w:r>
        <w:rPr>
          <w:rFonts w:hint="eastAsia" w:ascii="仿宋_GB2312" w:hAnsi="仿宋" w:cs="仿宋_GB2312"/>
          <w:szCs w:val="32"/>
          <w:lang w:eastAsia="zh-CN"/>
        </w:rPr>
        <w:t>机关</w:t>
      </w:r>
      <w:r>
        <w:rPr>
          <w:rFonts w:hint="eastAsia" w:ascii="仿宋_GB2312" w:hAnsi="仿宋" w:cs="仿宋_GB2312"/>
          <w:szCs w:val="32"/>
        </w:rPr>
        <w:t>的正常运转和事业发展规划，</w:t>
      </w:r>
      <w:r>
        <w:rPr>
          <w:rFonts w:hint="eastAsia" w:ascii="仿宋_GB2312" w:hAnsi="仿宋" w:cs="仿宋"/>
          <w:szCs w:val="32"/>
        </w:rPr>
        <w:t>基本达到</w:t>
      </w:r>
      <w:r>
        <w:rPr>
          <w:rFonts w:hint="eastAsia" w:ascii="仿宋_GB2312" w:hAnsi="仿宋" w:cs="仿宋"/>
          <w:szCs w:val="32"/>
          <w:lang w:eastAsia="zh-CN"/>
        </w:rPr>
        <w:t>部门整体</w:t>
      </w:r>
      <w:r>
        <w:rPr>
          <w:rFonts w:hint="eastAsia" w:ascii="仿宋_GB2312" w:hAnsi="仿宋" w:cs="仿宋"/>
          <w:szCs w:val="32"/>
        </w:rPr>
        <w:t>绩效目标预期</w:t>
      </w:r>
      <w:r>
        <w:rPr>
          <w:rFonts w:hint="eastAsia" w:ascii="仿宋_GB2312" w:hAnsi="仿宋" w:cs="仿宋_GB2312"/>
          <w:szCs w:val="32"/>
        </w:rPr>
        <w:t>。部门预决算、预算执行以及资产管理、内控制度、信息公开等符合财务管理相关规定，较好地完成了年度目标任务。</w:t>
      </w:r>
    </w:p>
    <w:p w14:paraId="2B60478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rPr>
      </w:pPr>
      <w:r>
        <w:rPr>
          <w:rFonts w:hint="eastAsia" w:ascii="Times New Roman" w:hAnsi="Times New Roman" w:eastAsia="楷体_GB2312" w:cs="Times New Roman"/>
          <w:b w:val="0"/>
          <w:bCs w:val="0"/>
          <w:color w:val="000000"/>
          <w:kern w:val="0"/>
          <w:sz w:val="32"/>
          <w:szCs w:val="32"/>
          <w:highlight w:val="none"/>
          <w:shd w:val="clear" w:color="auto" w:fill="FFFFFF"/>
          <w:lang w:val="zh-CN"/>
        </w:rPr>
        <w:t>（</w:t>
      </w:r>
      <w:r>
        <w:rPr>
          <w:rFonts w:hint="eastAsia" w:ascii="Times New Roman" w:hAnsi="Times New Roman" w:eastAsia="楷体_GB2312" w:cs="Times New Roman"/>
          <w:b w:val="0"/>
          <w:bCs w:val="0"/>
          <w:color w:val="000000"/>
          <w:kern w:val="0"/>
          <w:sz w:val="32"/>
          <w:szCs w:val="32"/>
          <w:highlight w:val="none"/>
          <w:shd w:val="clear" w:color="auto" w:fill="FFFFFF"/>
          <w:lang w:val="en-US" w:eastAsia="zh-CN"/>
        </w:rPr>
        <w:t>二</w:t>
      </w:r>
      <w:r>
        <w:rPr>
          <w:rFonts w:hint="eastAsia" w:ascii="Times New Roman" w:hAnsi="Times New Roman" w:eastAsia="楷体_GB2312" w:cs="Times New Roman"/>
          <w:b w:val="0"/>
          <w:bCs w:val="0"/>
          <w:color w:val="000000"/>
          <w:kern w:val="0"/>
          <w:sz w:val="32"/>
          <w:szCs w:val="32"/>
          <w:highlight w:val="none"/>
          <w:shd w:val="clear" w:color="auto" w:fill="FFFFFF"/>
          <w:lang w:val="zh-CN"/>
        </w:rPr>
        <w:t>）存在问题</w:t>
      </w:r>
    </w:p>
    <w:p w14:paraId="040C358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r>
        <w:rPr>
          <w:rFonts w:hint="eastAsia" w:ascii="仿宋_GB2312" w:hAnsi="仿宋" w:cs="仿宋_GB2312"/>
          <w:szCs w:val="32"/>
          <w:lang w:eastAsia="zh-CN"/>
        </w:rPr>
        <w:t>自贡市红十字会</w:t>
      </w:r>
      <w:r>
        <w:rPr>
          <w:rFonts w:hint="eastAsia" w:ascii="仿宋_GB2312" w:hAnsi="仿宋" w:eastAsia="仿宋_GB2312" w:cs="仿宋_GB2312"/>
          <w:b w:val="0"/>
          <w:kern w:val="2"/>
          <w:sz w:val="32"/>
          <w:szCs w:val="32"/>
          <w:lang w:val="zh-CN" w:eastAsia="zh-CN" w:bidi="ar-SA"/>
        </w:rPr>
        <w:t>严格</w:t>
      </w:r>
      <w:r>
        <w:rPr>
          <w:rFonts w:hint="eastAsia" w:ascii="仿宋_GB2312" w:hAnsi="仿宋" w:cs="仿宋_GB2312"/>
          <w:b w:val="0"/>
          <w:kern w:val="2"/>
          <w:sz w:val="32"/>
          <w:szCs w:val="32"/>
          <w:lang w:val="zh-CN" w:eastAsia="zh-CN" w:bidi="ar-SA"/>
        </w:rPr>
        <w:t>按照</w:t>
      </w:r>
      <w:r>
        <w:rPr>
          <w:rFonts w:hint="eastAsia" w:ascii="仿宋_GB2312" w:hAnsi="仿宋" w:eastAsia="仿宋_GB2312" w:cs="仿宋_GB2312"/>
          <w:b w:val="0"/>
          <w:kern w:val="2"/>
          <w:sz w:val="32"/>
          <w:szCs w:val="32"/>
          <w:lang w:val="zh-CN" w:eastAsia="zh-CN" w:bidi="ar-SA"/>
        </w:rPr>
        <w:t>《预算法》</w:t>
      </w:r>
      <w:r>
        <w:rPr>
          <w:rFonts w:hint="eastAsia" w:ascii="仿宋_GB2312" w:hAnsi="仿宋" w:cs="仿宋_GB2312"/>
          <w:b w:val="0"/>
          <w:kern w:val="2"/>
          <w:sz w:val="32"/>
          <w:szCs w:val="32"/>
          <w:lang w:val="zh-CN" w:eastAsia="zh-CN" w:bidi="ar-SA"/>
        </w:rPr>
        <w:t>及预算法实施条例</w:t>
      </w:r>
      <w:r>
        <w:rPr>
          <w:rFonts w:hint="eastAsia" w:ascii="仿宋_GB2312" w:hAnsi="仿宋" w:eastAsia="仿宋_GB2312" w:cs="仿宋_GB2312"/>
          <w:b w:val="0"/>
          <w:kern w:val="2"/>
          <w:sz w:val="32"/>
          <w:szCs w:val="32"/>
          <w:lang w:val="zh-CN" w:eastAsia="zh-CN" w:bidi="ar-SA"/>
        </w:rPr>
        <w:t>和市财政相关</w:t>
      </w:r>
      <w:r>
        <w:rPr>
          <w:rFonts w:hint="eastAsia" w:ascii="仿宋_GB2312" w:hAnsi="仿宋" w:cs="仿宋_GB2312"/>
          <w:b w:val="0"/>
          <w:kern w:val="2"/>
          <w:sz w:val="32"/>
          <w:szCs w:val="32"/>
          <w:lang w:val="zh-CN" w:eastAsia="zh-CN" w:bidi="ar-SA"/>
        </w:rPr>
        <w:t>工作</w:t>
      </w:r>
      <w:r>
        <w:rPr>
          <w:rFonts w:hint="eastAsia" w:ascii="仿宋_GB2312" w:hAnsi="仿宋" w:eastAsia="仿宋_GB2312" w:cs="仿宋_GB2312"/>
          <w:b w:val="0"/>
          <w:kern w:val="2"/>
          <w:sz w:val="32"/>
          <w:szCs w:val="32"/>
          <w:lang w:val="zh-CN" w:eastAsia="zh-CN" w:bidi="ar-SA"/>
        </w:rPr>
        <w:t>要求，坚持统筹谋划、点面结合、突出重点、全员参与</w:t>
      </w:r>
      <w:r>
        <w:rPr>
          <w:rFonts w:hint="eastAsia" w:ascii="仿宋_GB2312" w:hAnsi="仿宋" w:cs="仿宋_GB2312"/>
          <w:b w:val="0"/>
          <w:kern w:val="2"/>
          <w:sz w:val="32"/>
          <w:szCs w:val="32"/>
          <w:lang w:val="zh-CN" w:eastAsia="zh-CN" w:bidi="ar-SA"/>
        </w:rPr>
        <w:t>的</w:t>
      </w:r>
      <w:r>
        <w:rPr>
          <w:rFonts w:hint="eastAsia" w:ascii="仿宋_GB2312" w:hAnsi="仿宋" w:eastAsia="仿宋_GB2312" w:cs="仿宋_GB2312"/>
          <w:b w:val="0"/>
          <w:kern w:val="2"/>
          <w:sz w:val="32"/>
          <w:szCs w:val="32"/>
          <w:lang w:val="zh-CN" w:eastAsia="zh-CN" w:bidi="ar-SA"/>
        </w:rPr>
        <w:t>原则，</w:t>
      </w:r>
      <w:r>
        <w:rPr>
          <w:rFonts w:hint="eastAsia" w:ascii="仿宋_GB2312" w:hAnsi="仿宋" w:cs="仿宋_GB2312"/>
          <w:b w:val="0"/>
          <w:kern w:val="2"/>
          <w:sz w:val="32"/>
          <w:szCs w:val="32"/>
          <w:lang w:val="zh-CN" w:eastAsia="zh-CN" w:bidi="ar-SA"/>
        </w:rPr>
        <w:t>科学</w:t>
      </w:r>
      <w:r>
        <w:rPr>
          <w:rFonts w:hint="eastAsia" w:ascii="仿宋_GB2312" w:hAnsi="仿宋" w:eastAsia="仿宋_GB2312" w:cs="仿宋_GB2312"/>
          <w:b w:val="0"/>
          <w:kern w:val="2"/>
          <w:sz w:val="32"/>
          <w:szCs w:val="32"/>
          <w:lang w:val="zh-CN" w:eastAsia="zh-CN" w:bidi="ar-SA"/>
        </w:rPr>
        <w:t>编制202</w:t>
      </w:r>
      <w:r>
        <w:rPr>
          <w:rFonts w:hint="eastAsia" w:ascii="仿宋_GB2312" w:hAnsi="仿宋" w:cs="仿宋_GB2312"/>
          <w:b w:val="0"/>
          <w:kern w:val="2"/>
          <w:sz w:val="32"/>
          <w:szCs w:val="32"/>
          <w:lang w:val="en-US" w:eastAsia="zh-CN" w:bidi="ar-SA"/>
        </w:rPr>
        <w:t>3</w:t>
      </w:r>
      <w:r>
        <w:rPr>
          <w:rFonts w:hint="eastAsia" w:ascii="仿宋_GB2312" w:hAnsi="仿宋" w:eastAsia="仿宋_GB2312" w:cs="仿宋_GB2312"/>
          <w:b w:val="0"/>
          <w:kern w:val="2"/>
          <w:sz w:val="32"/>
          <w:szCs w:val="32"/>
          <w:lang w:val="zh-CN" w:eastAsia="zh-CN" w:bidi="ar-SA"/>
        </w:rPr>
        <w:t>年部门预算</w:t>
      </w:r>
      <w:r>
        <w:rPr>
          <w:rFonts w:hint="eastAsia" w:ascii="仿宋_GB2312" w:hAnsi="仿宋" w:cs="仿宋_GB2312"/>
          <w:b w:val="0"/>
          <w:kern w:val="2"/>
          <w:sz w:val="32"/>
          <w:szCs w:val="32"/>
          <w:lang w:val="zh-CN" w:eastAsia="zh-CN" w:bidi="ar-SA"/>
        </w:rPr>
        <w:t>及绩效目标，</w:t>
      </w:r>
      <w:r>
        <w:rPr>
          <w:rFonts w:hint="eastAsia" w:ascii="仿宋_GB2312" w:hAnsi="仿宋" w:eastAsia="仿宋_GB2312" w:cs="仿宋_GB2312"/>
          <w:b w:val="0"/>
          <w:kern w:val="2"/>
          <w:sz w:val="32"/>
          <w:szCs w:val="32"/>
          <w:lang w:val="zh-CN" w:eastAsia="zh-CN" w:bidi="ar-SA"/>
        </w:rPr>
        <w:t>所有支出项目严格按照下达的预算批复执行，年终基本达到预定绩效目标，部门预算执行情况总体较好。</w:t>
      </w:r>
      <w:r>
        <w:rPr>
          <w:rFonts w:hint="eastAsia" w:ascii="仿宋_GB2312" w:hAnsi="仿宋" w:eastAsia="仿宋_GB2312" w:cs="仿宋_GB2312"/>
          <w:b w:val="0"/>
          <w:kern w:val="2"/>
          <w:sz w:val="32"/>
          <w:szCs w:val="32"/>
          <w:lang w:val="en-US" w:eastAsia="zh-CN" w:bidi="ar-SA"/>
        </w:rPr>
        <w:t>但</w:t>
      </w:r>
      <w:r>
        <w:rPr>
          <w:rFonts w:hint="eastAsia" w:ascii="仿宋_GB2312" w:hAnsi="仿宋" w:cs="仿宋_GB2312"/>
          <w:b w:val="0"/>
          <w:kern w:val="2"/>
          <w:sz w:val="32"/>
          <w:szCs w:val="32"/>
          <w:lang w:val="en-US" w:eastAsia="zh-CN" w:bidi="ar-SA"/>
        </w:rPr>
        <w:t>仍然</w:t>
      </w:r>
      <w:r>
        <w:rPr>
          <w:rFonts w:hint="eastAsia" w:ascii="仿宋_GB2312" w:hAnsi="仿宋" w:eastAsia="仿宋_GB2312" w:cs="仿宋_GB2312"/>
          <w:b w:val="0"/>
          <w:kern w:val="2"/>
          <w:sz w:val="32"/>
          <w:szCs w:val="32"/>
          <w:lang w:val="en-US" w:eastAsia="zh-CN" w:bidi="ar-SA"/>
        </w:rPr>
        <w:t>存在项目实施业务</w:t>
      </w:r>
      <w:r>
        <w:rPr>
          <w:rFonts w:hint="eastAsia" w:ascii="仿宋_GB2312" w:hAnsi="仿宋" w:cs="仿宋_GB2312"/>
          <w:b w:val="0"/>
          <w:kern w:val="2"/>
          <w:sz w:val="32"/>
          <w:szCs w:val="32"/>
          <w:lang w:val="en-US" w:eastAsia="zh-CN" w:bidi="ar-SA"/>
        </w:rPr>
        <w:t>科室绩效目标设置不够精准的情况以及在预算执行过程中存在支出经济科目使用不当的情况</w:t>
      </w:r>
      <w:r>
        <w:rPr>
          <w:rFonts w:hint="eastAsia" w:ascii="仿宋_GB2312" w:hAnsi="仿宋" w:eastAsia="仿宋_GB2312" w:cs="仿宋_GB2312"/>
          <w:b w:val="0"/>
          <w:kern w:val="2"/>
          <w:sz w:val="32"/>
          <w:szCs w:val="32"/>
          <w:lang w:val="zh-CN" w:eastAsia="zh-CN" w:bidi="ar-SA"/>
        </w:rPr>
        <w:t>。</w:t>
      </w:r>
    </w:p>
    <w:p w14:paraId="0D52FF68">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Times New Roman" w:hAnsi="Times New Roman" w:eastAsia="楷体_GB2312" w:cs="Times New Roman"/>
          <w:b w:val="0"/>
          <w:bCs w:val="0"/>
          <w:color w:val="000000"/>
          <w:kern w:val="0"/>
          <w:sz w:val="32"/>
          <w:szCs w:val="32"/>
          <w:highlight w:val="none"/>
          <w:shd w:val="clear" w:color="auto" w:fill="FFFFFF"/>
          <w:lang w:val="zh-CN" w:eastAsia="zh-CN" w:bidi="ar-SA"/>
        </w:rPr>
      </w:pPr>
      <w:r>
        <w:rPr>
          <w:rFonts w:hint="eastAsia" w:ascii="Times New Roman" w:hAnsi="Times New Roman" w:eastAsia="楷体_GB2312" w:cs="Times New Roman"/>
          <w:b w:val="0"/>
          <w:bCs w:val="0"/>
          <w:color w:val="000000"/>
          <w:kern w:val="0"/>
          <w:sz w:val="32"/>
          <w:szCs w:val="32"/>
          <w:highlight w:val="none"/>
          <w:shd w:val="clear" w:color="auto" w:fill="FFFFFF"/>
          <w:lang w:val="zh-CN" w:eastAsia="zh-CN" w:bidi="ar-SA"/>
        </w:rPr>
        <w:t>（</w:t>
      </w:r>
      <w:r>
        <w:rPr>
          <w:rFonts w:hint="eastAsia" w:ascii="Times New Roman" w:hAnsi="Times New Roman" w:eastAsia="楷体_GB2312" w:cs="Times New Roman"/>
          <w:b w:val="0"/>
          <w:bCs w:val="0"/>
          <w:color w:val="000000"/>
          <w:kern w:val="0"/>
          <w:sz w:val="32"/>
          <w:szCs w:val="32"/>
          <w:highlight w:val="none"/>
          <w:shd w:val="clear" w:color="auto" w:fill="FFFFFF"/>
          <w:lang w:val="en-US" w:eastAsia="zh-CN" w:bidi="ar-SA"/>
        </w:rPr>
        <w:t>三</w:t>
      </w:r>
      <w:r>
        <w:rPr>
          <w:rFonts w:hint="eastAsia" w:ascii="Times New Roman" w:hAnsi="Times New Roman" w:eastAsia="楷体_GB2312" w:cs="Times New Roman"/>
          <w:b w:val="0"/>
          <w:bCs w:val="0"/>
          <w:color w:val="000000"/>
          <w:kern w:val="0"/>
          <w:sz w:val="32"/>
          <w:szCs w:val="32"/>
          <w:highlight w:val="none"/>
          <w:shd w:val="clear" w:color="auto" w:fill="FFFFFF"/>
          <w:lang w:val="zh-CN" w:eastAsia="zh-CN" w:bidi="ar-SA"/>
        </w:rPr>
        <w:t>）改进建议</w:t>
      </w:r>
    </w:p>
    <w:p w14:paraId="048FF5DD">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仿宋_GB2312"/>
          <w:b w:val="0"/>
          <w:kern w:val="2"/>
          <w:sz w:val="32"/>
          <w:szCs w:val="32"/>
          <w:lang w:val="en-US" w:eastAsia="zh-CN" w:bidi="ar-SA"/>
        </w:rPr>
      </w:pPr>
      <w:r>
        <w:rPr>
          <w:rFonts w:hint="eastAsia" w:ascii="仿宋_GB2312" w:hAnsi="仿宋" w:eastAsia="仿宋_GB2312" w:cs="仿宋_GB2312"/>
          <w:b w:val="0"/>
          <w:kern w:val="2"/>
          <w:sz w:val="32"/>
          <w:szCs w:val="32"/>
          <w:lang w:val="en-US" w:eastAsia="zh-CN" w:bidi="ar-SA"/>
        </w:rPr>
        <w:t>按照“谁使用、谁申请、谁负责”的原则，要求申请资金科室人员提前谋划、科学编制绩效目标，提升预算绩效目标编制质量。要求财务人员加强财经纪律学习，不断提升综合业务水平，规范用好财政资金，持续提升预算管理质效。</w:t>
      </w:r>
    </w:p>
    <w:p w14:paraId="31BBDF45">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both"/>
        <w:textAlignment w:val="auto"/>
        <w:rPr>
          <w:rFonts w:hint="eastAsia" w:ascii="楷体_GB2312" w:hAnsi="楷体_GB2312" w:eastAsia="楷体_GB2312" w:cs="楷体_GB2312"/>
          <w:b/>
          <w:bCs/>
          <w:color w:val="000000"/>
          <w:kern w:val="0"/>
          <w:sz w:val="32"/>
          <w:szCs w:val="32"/>
          <w:highlight w:val="none"/>
          <w:shd w:val="clear" w:color="auto" w:fill="FFFFFF"/>
          <w:lang w:val="zh-CN"/>
        </w:rPr>
      </w:pPr>
    </w:p>
    <w:p w14:paraId="4958BB2C">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14:paraId="3F76A606">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14:paraId="6CCCA8DD">
      <w:pPr>
        <w:keepNext w:val="0"/>
        <w:keepLines w:val="0"/>
        <w:widowControl w:val="0"/>
        <w:suppressLineNumbers w:val="0"/>
        <w:spacing w:before="0" w:beforeAutospacing="0" w:after="0" w:afterAutospacing="0" w:line="580" w:lineRule="exact"/>
        <w:ind w:left="0" w:right="0"/>
        <w:jc w:val="both"/>
        <w:outlineLvl w:val="9"/>
        <w:rPr>
          <w:rFonts w:hint="eastAsia" w:ascii="Times New Roman" w:hAnsi="Times New Roman" w:eastAsia="黑体" w:cs="黑体"/>
          <w:kern w:val="2"/>
          <w:sz w:val="32"/>
          <w:szCs w:val="24"/>
          <w:lang w:val="en-US" w:eastAsia="zh-CN" w:bidi="ar"/>
        </w:rPr>
      </w:pPr>
    </w:p>
    <w:p w14:paraId="5BB585D7">
      <w:pPr>
        <w:pStyle w:val="7"/>
        <w:rPr>
          <w:rFonts w:hint="eastAsia" w:ascii="Times New Roman" w:hAnsi="Times New Roman" w:eastAsia="黑体" w:cs="黑体"/>
          <w:kern w:val="2"/>
          <w:sz w:val="32"/>
          <w:szCs w:val="24"/>
          <w:lang w:val="en-US" w:eastAsia="zh-CN" w:bidi="ar"/>
        </w:rPr>
      </w:pPr>
    </w:p>
    <w:p w14:paraId="50B07EAA">
      <w:pPr>
        <w:rPr>
          <w:rFonts w:hint="eastAsia" w:ascii="Times New Roman" w:hAnsi="Times New Roman" w:eastAsia="黑体" w:cs="黑体"/>
          <w:kern w:val="2"/>
          <w:sz w:val="32"/>
          <w:szCs w:val="24"/>
          <w:lang w:val="en-US" w:eastAsia="zh-CN" w:bidi="ar"/>
        </w:rPr>
      </w:pPr>
    </w:p>
    <w:p w14:paraId="09D7F5E0">
      <w:pPr>
        <w:pStyle w:val="7"/>
        <w:rPr>
          <w:rFonts w:hint="eastAsia" w:ascii="Times New Roman" w:hAnsi="Times New Roman" w:eastAsia="黑体" w:cs="黑体"/>
          <w:kern w:val="2"/>
          <w:sz w:val="32"/>
          <w:szCs w:val="24"/>
          <w:lang w:val="en-US" w:eastAsia="zh-CN" w:bidi="ar"/>
        </w:rPr>
      </w:pPr>
    </w:p>
    <w:p w14:paraId="1566ADA8">
      <w:pPr>
        <w:rPr>
          <w:rFonts w:hint="eastAsia" w:ascii="Times New Roman" w:hAnsi="Times New Roman" w:eastAsia="黑体" w:cs="黑体"/>
          <w:kern w:val="2"/>
          <w:sz w:val="32"/>
          <w:szCs w:val="24"/>
          <w:lang w:val="en-US" w:eastAsia="zh-CN" w:bidi="ar"/>
        </w:rPr>
      </w:pPr>
    </w:p>
    <w:p w14:paraId="32B20602">
      <w:pPr>
        <w:pStyle w:val="7"/>
        <w:rPr>
          <w:rFonts w:hint="eastAsia" w:ascii="Times New Roman" w:hAnsi="Times New Roman" w:eastAsia="黑体" w:cs="黑体"/>
          <w:kern w:val="2"/>
          <w:sz w:val="32"/>
          <w:szCs w:val="24"/>
          <w:lang w:val="en-US" w:eastAsia="zh-CN" w:bidi="ar"/>
        </w:rPr>
        <w:sectPr>
          <w:footerReference r:id="rId4" w:type="default"/>
          <w:pgSz w:w="11906" w:h="16838"/>
          <w:pgMar w:top="1440" w:right="1800" w:bottom="1440" w:left="1800" w:header="851" w:footer="992" w:gutter="0"/>
          <w:pgNumType w:fmt="decimal" w:start="1"/>
          <w:cols w:space="425" w:num="1"/>
          <w:docGrid w:type="lines" w:linePitch="312" w:charSpace="0"/>
        </w:sectPr>
      </w:pPr>
    </w:p>
    <w:tbl>
      <w:tblPr>
        <w:tblStyle w:val="13"/>
        <w:tblW w:w="13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7"/>
        <w:gridCol w:w="836"/>
        <w:gridCol w:w="2116"/>
        <w:gridCol w:w="771"/>
        <w:gridCol w:w="4206"/>
        <w:gridCol w:w="4066"/>
        <w:gridCol w:w="617"/>
        <w:gridCol w:w="617"/>
      </w:tblGrid>
      <w:tr w14:paraId="0BCEA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76" w:type="dxa"/>
            <w:gridSpan w:val="8"/>
            <w:tcBorders>
              <w:top w:val="nil"/>
              <w:left w:val="nil"/>
              <w:bottom w:val="single" w:color="000000" w:sz="4" w:space="0"/>
              <w:right w:val="nil"/>
            </w:tcBorders>
            <w:noWrap w:val="0"/>
            <w:vAlign w:val="center"/>
          </w:tcPr>
          <w:p w14:paraId="090A20A5">
            <w:pPr>
              <w:jc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36"/>
                <w:szCs w:val="36"/>
                <w:u w:val="none"/>
                <w:lang w:val="en-US" w:eastAsia="zh-CN" w:bidi="ar"/>
              </w:rPr>
              <w:t>2024年市级部门整体支出绩效评价指标体系</w:t>
            </w:r>
          </w:p>
        </w:tc>
      </w:tr>
      <w:tr w14:paraId="42B9C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39FB6B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绩效指标</w:t>
            </w:r>
          </w:p>
        </w:tc>
        <w:tc>
          <w:tcPr>
            <w:tcW w:w="7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2D95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指标分值</w:t>
            </w:r>
          </w:p>
        </w:tc>
        <w:tc>
          <w:tcPr>
            <w:tcW w:w="4206"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80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c>
          <w:tcPr>
            <w:tcW w:w="4066" w:type="dxa"/>
            <w:vMerge w:val="restart"/>
            <w:tcBorders>
              <w:top w:val="single" w:color="000000" w:sz="4" w:space="0"/>
              <w:left w:val="nil"/>
              <w:bottom w:val="single" w:color="000000" w:sz="4" w:space="0"/>
              <w:right w:val="nil"/>
            </w:tcBorders>
            <w:noWrap w:val="0"/>
            <w:vAlign w:val="center"/>
          </w:tcPr>
          <w:p w14:paraId="3EA2D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计分标准</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13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w:t>
            </w:r>
          </w:p>
        </w:tc>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EB8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复评得分</w:t>
            </w:r>
          </w:p>
        </w:tc>
      </w:tr>
      <w:tr w14:paraId="1292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5840EE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375E62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D3979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7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3A0D5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2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25B6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4066" w:type="dxa"/>
            <w:vMerge w:val="continue"/>
            <w:tcBorders>
              <w:top w:val="single" w:color="000000" w:sz="4" w:space="0"/>
              <w:left w:val="nil"/>
              <w:bottom w:val="single" w:color="000000" w:sz="4" w:space="0"/>
              <w:right w:val="nil"/>
            </w:tcBorders>
            <w:noWrap w:val="0"/>
            <w:vAlign w:val="center"/>
          </w:tcPr>
          <w:p w14:paraId="1A3BED3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bCs/>
                <w:i w:val="0"/>
                <w:iCs w:val="0"/>
                <w:color w:val="000000"/>
                <w:sz w:val="16"/>
                <w:szCs w:val="16"/>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EE033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46B2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4540B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3A26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部门预算项目绩效管理（45分）</w:t>
            </w: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49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目标管理（20分）</w:t>
            </w:r>
          </w:p>
        </w:tc>
        <w:tc>
          <w:tcPr>
            <w:tcW w:w="2116" w:type="dxa"/>
            <w:vMerge w:val="restart"/>
            <w:tcBorders>
              <w:top w:val="single" w:color="000000" w:sz="4" w:space="0"/>
              <w:left w:val="single" w:color="000000" w:sz="4" w:space="0"/>
              <w:bottom w:val="nil"/>
              <w:right w:val="single" w:color="000000" w:sz="4" w:space="0"/>
            </w:tcBorders>
            <w:noWrap w:val="0"/>
            <w:vAlign w:val="center"/>
          </w:tcPr>
          <w:p w14:paraId="2F92A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目标制定</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3222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2C95AF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评价部门年初绩效目标编制质量。</w:t>
            </w:r>
          </w:p>
        </w:tc>
        <w:tc>
          <w:tcPr>
            <w:tcW w:w="4066" w:type="dxa"/>
            <w:tcBorders>
              <w:top w:val="single" w:color="000000" w:sz="4" w:space="0"/>
              <w:left w:val="single" w:color="000000" w:sz="4" w:space="0"/>
              <w:bottom w:val="single" w:color="000000" w:sz="4" w:space="0"/>
              <w:right w:val="nil"/>
            </w:tcBorders>
            <w:noWrap w:val="0"/>
            <w:vAlign w:val="center"/>
          </w:tcPr>
          <w:p w14:paraId="56830F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根据市人大预工委对预算草案审查结果进行考核，对预工委审查后提出并确需修改的问题，每个问题扣0.05分，直至扣完。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C99B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E2FCE8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0C22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16F4B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B3278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vMerge w:val="continue"/>
            <w:tcBorders>
              <w:top w:val="single" w:color="000000" w:sz="4" w:space="0"/>
              <w:left w:val="single" w:color="000000" w:sz="4" w:space="0"/>
              <w:bottom w:val="nil"/>
              <w:right w:val="single" w:color="000000" w:sz="4" w:space="0"/>
            </w:tcBorders>
            <w:noWrap w:val="0"/>
            <w:vAlign w:val="center"/>
          </w:tcPr>
          <w:p w14:paraId="13B8695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F8857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410D2C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根据年度绩效目标实现情况，评价部门绩效目标是否科学合理、规范完整、细化量化并与预算安排相匹配。</w:t>
            </w:r>
          </w:p>
        </w:tc>
        <w:tc>
          <w:tcPr>
            <w:tcW w:w="4066" w:type="dxa"/>
            <w:tcBorders>
              <w:top w:val="single" w:color="000000" w:sz="4" w:space="0"/>
              <w:left w:val="single" w:color="000000" w:sz="4" w:space="0"/>
              <w:bottom w:val="single" w:color="000000" w:sz="4" w:space="0"/>
              <w:right w:val="nil"/>
            </w:tcBorders>
            <w:noWrap w:val="0"/>
            <w:vAlign w:val="center"/>
          </w:tcPr>
          <w:p w14:paraId="6A55E5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1.绩效目标编制科学合理的，得1分，否则酌情扣分。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2.绩效目标编制规范完整的，得1分，否则酌情扣分。                                                       3.绩效指标编制细化量化的，得1分，否则酌情扣分。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4.绩效指标编制与预算安排相匹配的，得1分，否则酌情扣分。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5.评价部门绩效目标纳入部门党组（委）会（办公会）集体决策范围的得1分，否则不得分。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4661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BB040BC">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12DC0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BDC57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126E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nil"/>
              <w:right w:val="single" w:color="000000" w:sz="4" w:space="0"/>
            </w:tcBorders>
            <w:noWrap w:val="0"/>
            <w:vAlign w:val="center"/>
          </w:tcPr>
          <w:p w14:paraId="29813E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目标实现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CF3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EEFD0F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评价部门整体支出绩效目标实现程度与预期目标的偏离度。</w:t>
            </w:r>
          </w:p>
        </w:tc>
        <w:tc>
          <w:tcPr>
            <w:tcW w:w="4066" w:type="dxa"/>
            <w:tcBorders>
              <w:top w:val="single" w:color="000000" w:sz="4" w:space="0"/>
              <w:left w:val="single" w:color="000000" w:sz="4" w:space="0"/>
              <w:bottom w:val="single" w:color="000000" w:sz="4" w:space="0"/>
              <w:right w:val="nil"/>
            </w:tcBorders>
            <w:noWrap w:val="0"/>
            <w:vAlign w:val="center"/>
          </w:tcPr>
          <w:p w14:paraId="497D41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部门整体支出绩效为核心，评价部门整体支出实际完成情况与预期绩效目标偏离度，单个数量指标实际完成未达到预期指标或超过预期指标30%以上的，均不计分。该项指标得分=达到预期值的数量指标个数/全部数量指标个数*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FC790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90EFD7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5F77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45838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1FC0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动态调整（15分）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0A5C40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支出控制</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B22C3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4BC26B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部门公用经费及非定额公用支出控制情况。</w:t>
            </w:r>
          </w:p>
        </w:tc>
        <w:tc>
          <w:tcPr>
            <w:tcW w:w="4066" w:type="dxa"/>
            <w:tcBorders>
              <w:top w:val="single" w:color="000000" w:sz="4" w:space="0"/>
              <w:left w:val="single" w:color="000000" w:sz="4" w:space="0"/>
              <w:bottom w:val="single" w:color="000000" w:sz="4" w:space="0"/>
              <w:right w:val="nil"/>
            </w:tcBorders>
            <w:noWrap w:val="0"/>
            <w:vAlign w:val="center"/>
          </w:tcPr>
          <w:p w14:paraId="4C2EB0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计算部门日常公用经费、项目支出中“办公费、印刷费、水费、电费、物业管理费”等科目年初预算数与决算数偏差程度。                                                            预决算偏差程度在10%以内的，得5分。偏差度在10%—20%之间的，得2分，偏差度超过20%的，不得分。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3A2A5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E6E067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35C3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DB6B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1781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5BA09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及时处置</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B32EB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6724F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评价部门开展绩效运行监控后，根据绩效监控发现问题及时提出并落实处置意见情况。</w:t>
            </w:r>
          </w:p>
        </w:tc>
        <w:tc>
          <w:tcPr>
            <w:tcW w:w="4066" w:type="dxa"/>
            <w:tcBorders>
              <w:top w:val="single" w:color="000000" w:sz="4" w:space="0"/>
              <w:left w:val="single" w:color="000000" w:sz="4" w:space="0"/>
              <w:bottom w:val="single" w:color="000000" w:sz="4" w:space="0"/>
              <w:right w:val="nil"/>
            </w:tcBorders>
            <w:noWrap w:val="0"/>
            <w:vAlign w:val="center"/>
          </w:tcPr>
          <w:p w14:paraId="7EBA1B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绩效运行监控未发现问题或对发现问题提出预算收回、调整等处置意见并加以落实的得5分。如存在提出处置意见未及时落实的，按未进行问题整改的项目数量/监控发现问题的项目总数×5分扣分，直至扣完；存在问题但未提出处置意见的，不得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6C024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5A7B53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34D4F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0C6B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1BD5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5B5942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执行进度</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F04DE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0DFB4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评价部门在6、9、11月的预算执行情况。</w:t>
            </w:r>
          </w:p>
        </w:tc>
        <w:tc>
          <w:tcPr>
            <w:tcW w:w="4066" w:type="dxa"/>
            <w:tcBorders>
              <w:top w:val="single" w:color="000000" w:sz="4" w:space="0"/>
              <w:left w:val="single" w:color="000000" w:sz="4" w:space="0"/>
              <w:bottom w:val="single" w:color="000000" w:sz="4" w:space="0"/>
              <w:right w:val="nil"/>
            </w:tcBorders>
            <w:noWrap w:val="0"/>
            <w:vAlign w:val="center"/>
          </w:tcPr>
          <w:p w14:paraId="24CC43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部门预算执行进度在6、9、11月应达到序时进度的80%、90%、90%，即实际支出进度分别达到40%、67.5%、82.5%。                                                     6、9、11月部门预算执行进度达到量化指标的分别得1分、2分、2分，未达到目标进度的按其实际进度占目标进度的比重计算得分。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2258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15816E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4B2B9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EC34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E8237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完成结果（10分）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7AE4F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资金结余率（低效无效率）</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C197F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41F2DF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评价部门预算项目年终资金结余情况。                 </w:t>
            </w:r>
          </w:p>
        </w:tc>
        <w:tc>
          <w:tcPr>
            <w:tcW w:w="4066" w:type="dxa"/>
            <w:tcBorders>
              <w:top w:val="single" w:color="000000" w:sz="4" w:space="0"/>
              <w:left w:val="single" w:color="000000" w:sz="4" w:space="0"/>
              <w:bottom w:val="single" w:color="000000" w:sz="4" w:space="0"/>
              <w:right w:val="nil"/>
            </w:tcBorders>
            <w:noWrap w:val="0"/>
            <w:vAlign w:val="center"/>
          </w:tcPr>
          <w:p w14:paraId="36CE98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部门预算项目资金结余率小于0.1的项目数/部门预算项目总数*5。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B373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89B9CD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4D3F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5189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A9A4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545108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违规记录</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86C82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729071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根据审计监督、财会监督和部门自查结果反映部门上一年度部门预算管理是否存在相关问题。</w:t>
            </w:r>
          </w:p>
        </w:tc>
        <w:tc>
          <w:tcPr>
            <w:tcW w:w="4066" w:type="dxa"/>
            <w:tcBorders>
              <w:top w:val="single" w:color="000000" w:sz="4" w:space="0"/>
              <w:left w:val="single" w:color="000000" w:sz="4" w:space="0"/>
              <w:bottom w:val="single" w:color="000000" w:sz="4" w:space="0"/>
              <w:right w:val="nil"/>
            </w:tcBorders>
            <w:noWrap w:val="0"/>
            <w:vAlign w:val="center"/>
          </w:tcPr>
          <w:p w14:paraId="13A0871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依据评价年度审计监督、财会监督和部门自查结果，出现未落实党政机关过紧日子相关要求，以及部门预算管理方面违纪违规等问题的，每个问题扣0.5分，直至扣完。</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A7FC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53E7790">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648B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1D0A9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综合管理（20分）</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3B7BE2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内控制度管理（4分）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691A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内控制度健全完整</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BBAFA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8BD30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评价部门内部控制制度的设置和执行情况。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1CFCE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内部控制制度健全完整并执行良好的得分，否则不得分。在上一年度内因内控制度不健全或执行不到位，造成单位出现廉政风险或发生重大责任事故的不得分。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D678F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8D2B49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C94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653BE7">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69695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政府采购实施计划（4分）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F5C08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政府采购实施计划编制</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6F97B1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70F87F6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实施计划与政府采购预算的一致性。</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50E11DB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w:t>
            </w:r>
            <w:r>
              <w:rPr>
                <w:rStyle w:val="24"/>
                <w:rFonts w:eastAsia="宋体"/>
                <w:sz w:val="16"/>
                <w:szCs w:val="16"/>
                <w:lang w:val="en-US" w:eastAsia="zh-CN" w:bidi="ar"/>
              </w:rPr>
              <w:t>1</w:t>
            </w:r>
            <w:r>
              <w:rPr>
                <w:rStyle w:val="24"/>
                <w:rFonts w:hint="eastAsia" w:eastAsia="宋体"/>
                <w:sz w:val="16"/>
                <w:szCs w:val="16"/>
                <w:lang w:val="en-US" w:eastAsia="zh-CN" w:bidi="ar"/>
              </w:rPr>
              <w:t>－</w:t>
            </w:r>
            <w:r>
              <w:rPr>
                <w:rStyle w:val="23"/>
                <w:sz w:val="16"/>
                <w:szCs w:val="16"/>
                <w:lang w:val="en-US" w:eastAsia="zh-CN" w:bidi="ar"/>
              </w:rPr>
              <w:t>调整或细化资金/政府采购预算资金）*2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E03A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8878426">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54D0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97C1F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7738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0112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政府采购实施计划的执行</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787650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2A6FC6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执行的实施计划与备案的实施计划的一致性。</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19FA063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w:t>
            </w:r>
            <w:r>
              <w:rPr>
                <w:rStyle w:val="24"/>
                <w:rFonts w:eastAsia="宋体"/>
                <w:sz w:val="16"/>
                <w:szCs w:val="16"/>
                <w:lang w:val="en-US" w:eastAsia="zh-CN" w:bidi="ar"/>
              </w:rPr>
              <w:t>1</w:t>
            </w:r>
            <w:r>
              <w:rPr>
                <w:rStyle w:val="24"/>
                <w:rFonts w:hint="eastAsia" w:eastAsia="宋体"/>
                <w:sz w:val="16"/>
                <w:szCs w:val="16"/>
                <w:lang w:val="en-US" w:eastAsia="zh-CN" w:bidi="ar"/>
              </w:rPr>
              <w:t>－</w:t>
            </w:r>
            <w:r>
              <w:rPr>
                <w:rStyle w:val="23"/>
                <w:sz w:val="16"/>
                <w:szCs w:val="16"/>
                <w:lang w:val="en-US" w:eastAsia="zh-CN" w:bidi="ar"/>
              </w:rPr>
              <w:t>实施计划备案后的调整或细化资金/实施计划备案后的资金）*2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CD574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B51EBD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35FD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B6C735">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732003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1CB621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资产管理信息系统建设情况</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E174B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6A47B0F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评价部门和单位将国有资产纳入资产信息系统管理情况。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5CE64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①未将所属单位国有资产纳入系统管理，每少一个单位扣0.5分。</w:t>
            </w:r>
            <w:r>
              <w:rPr>
                <w:rStyle w:val="23"/>
                <w:sz w:val="16"/>
                <w:szCs w:val="16"/>
                <w:lang w:val="en-US" w:eastAsia="zh-CN" w:bidi="ar"/>
              </w:rPr>
              <w:br w:type="textWrapping"/>
            </w:r>
            <w:r>
              <w:rPr>
                <w:rStyle w:val="23"/>
                <w:sz w:val="16"/>
                <w:szCs w:val="16"/>
                <w:lang w:val="en-US" w:eastAsia="zh-CN" w:bidi="ar"/>
              </w:rPr>
              <w:t>②未将资产变动情况及时录入系统，每次扣</w:t>
            </w:r>
            <w:r>
              <w:rPr>
                <w:rStyle w:val="24"/>
                <w:rFonts w:eastAsia="宋体"/>
                <w:sz w:val="16"/>
                <w:szCs w:val="16"/>
                <w:lang w:val="en-US" w:eastAsia="zh-CN" w:bidi="ar"/>
              </w:rPr>
              <w:t>0.5</w:t>
            </w:r>
            <w:r>
              <w:rPr>
                <w:rStyle w:val="23"/>
                <w:sz w:val="16"/>
                <w:szCs w:val="16"/>
                <w:lang w:val="en-US" w:eastAsia="zh-CN" w:bidi="ar"/>
              </w:rPr>
              <w:t>分。</w:t>
            </w:r>
            <w:r>
              <w:rPr>
                <w:rStyle w:val="23"/>
                <w:sz w:val="16"/>
                <w:szCs w:val="16"/>
                <w:lang w:val="en-US" w:eastAsia="zh-CN" w:bidi="ar"/>
              </w:rPr>
              <w:br w:type="textWrapping"/>
            </w:r>
            <w:r>
              <w:rPr>
                <w:rStyle w:val="23"/>
                <w:sz w:val="16"/>
                <w:szCs w:val="16"/>
                <w:lang w:val="en-US" w:eastAsia="zh-CN" w:bidi="ar"/>
              </w:rPr>
              <w:t>③未落实人员负责管理系统，扣</w:t>
            </w:r>
            <w:r>
              <w:rPr>
                <w:rStyle w:val="24"/>
                <w:rFonts w:eastAsia="宋体"/>
                <w:sz w:val="16"/>
                <w:szCs w:val="16"/>
                <w:lang w:val="en-US" w:eastAsia="zh-CN" w:bidi="ar"/>
              </w:rPr>
              <w:t>1</w:t>
            </w:r>
            <w:r>
              <w:rPr>
                <w:rStyle w:val="23"/>
                <w:sz w:val="16"/>
                <w:szCs w:val="16"/>
                <w:lang w:val="en-US" w:eastAsia="zh-CN" w:bidi="ar"/>
              </w:rPr>
              <w:t>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6BCD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1F85865">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6974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6C09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5BF3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016419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行政事业单位资产清查开展情况</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87BDA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75DD10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评价行政事业单位按要求及时、准确、全面开展资产清查工作情况。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5F46504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①未在规定时间内完成资产清查任务扣0.5分。</w:t>
            </w:r>
            <w:r>
              <w:rPr>
                <w:rStyle w:val="23"/>
                <w:sz w:val="16"/>
                <w:szCs w:val="16"/>
                <w:lang w:val="en-US" w:eastAsia="zh-CN" w:bidi="ar"/>
              </w:rPr>
              <w:br w:type="textWrapping"/>
            </w:r>
            <w:r>
              <w:rPr>
                <w:rStyle w:val="23"/>
                <w:sz w:val="16"/>
                <w:szCs w:val="16"/>
                <w:lang w:val="en-US" w:eastAsia="zh-CN" w:bidi="ar"/>
              </w:rPr>
              <w:t>②资产清查结果与财政组织复核的结果误差超过</w:t>
            </w:r>
            <w:r>
              <w:rPr>
                <w:rStyle w:val="24"/>
                <w:rFonts w:eastAsia="宋体"/>
                <w:sz w:val="16"/>
                <w:szCs w:val="16"/>
                <w:lang w:val="en-US" w:eastAsia="zh-CN" w:bidi="ar"/>
              </w:rPr>
              <w:t>10%</w:t>
            </w:r>
            <w:r>
              <w:rPr>
                <w:rStyle w:val="23"/>
                <w:sz w:val="16"/>
                <w:szCs w:val="16"/>
                <w:lang w:val="en-US" w:eastAsia="zh-CN" w:bidi="ar"/>
              </w:rPr>
              <w:t>的扣0.5分。</w:t>
            </w:r>
            <w:r>
              <w:rPr>
                <w:rStyle w:val="23"/>
                <w:sz w:val="16"/>
                <w:szCs w:val="16"/>
                <w:lang w:val="en-US" w:eastAsia="zh-CN" w:bidi="ar"/>
              </w:rPr>
              <w:br w:type="textWrapping"/>
            </w:r>
            <w:r>
              <w:rPr>
                <w:rStyle w:val="23"/>
                <w:sz w:val="16"/>
                <w:szCs w:val="16"/>
                <w:lang w:val="en-US" w:eastAsia="zh-CN" w:bidi="ar"/>
              </w:rPr>
              <w:t>③未及时按批复的清查结果进行账务调整扣0.5分。</w:t>
            </w:r>
            <w:r>
              <w:rPr>
                <w:rStyle w:val="23"/>
                <w:sz w:val="16"/>
                <w:szCs w:val="16"/>
                <w:lang w:val="en-US" w:eastAsia="zh-CN" w:bidi="ar"/>
              </w:rPr>
              <w:br w:type="textWrapping"/>
            </w:r>
            <w:r>
              <w:rPr>
                <w:rStyle w:val="23"/>
                <w:sz w:val="16"/>
                <w:szCs w:val="16"/>
                <w:lang w:val="en-US" w:eastAsia="zh-CN" w:bidi="ar"/>
              </w:rPr>
              <w:t>④未及时更新资产管理信息系统，导致系统资产数据与上报财政的资产清查结果不一致扣0.5分。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9FE67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4FFCAD4">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77B7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2474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5EFF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32B99C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行政事业单位资产报表上报情况</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F3618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22313C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评价行政事业单位上报国有资产报表数据的真实性、准确性、全面性。</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4E5A312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①未落实专人负责资产报表，未及时上报资产报表扣</w:t>
            </w:r>
            <w:r>
              <w:rPr>
                <w:rStyle w:val="24"/>
                <w:rFonts w:eastAsia="宋体"/>
                <w:sz w:val="16"/>
                <w:szCs w:val="16"/>
                <w:lang w:val="en-US" w:eastAsia="zh-CN" w:bidi="ar"/>
              </w:rPr>
              <w:t>1</w:t>
            </w:r>
            <w:r>
              <w:rPr>
                <w:rStyle w:val="23"/>
                <w:sz w:val="16"/>
                <w:szCs w:val="16"/>
                <w:lang w:val="en-US" w:eastAsia="zh-CN" w:bidi="ar"/>
              </w:rPr>
              <w:t>分。</w:t>
            </w:r>
            <w:r>
              <w:rPr>
                <w:rStyle w:val="23"/>
                <w:sz w:val="16"/>
                <w:szCs w:val="16"/>
                <w:lang w:val="en-US" w:eastAsia="zh-CN" w:bidi="ar"/>
              </w:rPr>
              <w:br w:type="textWrapping"/>
            </w:r>
            <w:r>
              <w:rPr>
                <w:rStyle w:val="23"/>
                <w:sz w:val="16"/>
                <w:szCs w:val="16"/>
                <w:lang w:val="en-US" w:eastAsia="zh-CN" w:bidi="ar"/>
              </w:rPr>
              <w:t>②报表填报不规范，内容不完整，数据不真实，扣0.5分。</w:t>
            </w:r>
            <w:r>
              <w:rPr>
                <w:rStyle w:val="23"/>
                <w:sz w:val="16"/>
                <w:szCs w:val="16"/>
                <w:lang w:val="en-US" w:eastAsia="zh-CN" w:bidi="ar"/>
              </w:rPr>
              <w:br w:type="textWrapping"/>
            </w:r>
            <w:r>
              <w:rPr>
                <w:rStyle w:val="23"/>
                <w:sz w:val="16"/>
                <w:szCs w:val="16"/>
                <w:lang w:val="en-US" w:eastAsia="zh-CN" w:bidi="ar"/>
              </w:rPr>
              <w:t>③未提交分析报告，对资产变动情况未作分析说明，扣0.5分。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D914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269C4D9">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F8C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24C1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4DF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绩效评价（6分）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6F3CC6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评价项目覆盖率</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37AF8B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1DE3C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部门实施绩效评价项目数量占部门申报绩效目标项目数量的比重，用以反映和考核部门实施绩效评价项目资金覆盖情况。</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5B66485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实施绩效评价项目数量</w:t>
            </w:r>
            <w:r>
              <w:rPr>
                <w:rStyle w:val="24"/>
                <w:rFonts w:eastAsia="宋体"/>
                <w:sz w:val="16"/>
                <w:szCs w:val="16"/>
                <w:lang w:val="en-US" w:eastAsia="zh-CN" w:bidi="ar"/>
              </w:rPr>
              <w:t>/</w:t>
            </w:r>
            <w:r>
              <w:rPr>
                <w:rStyle w:val="23"/>
                <w:sz w:val="16"/>
                <w:szCs w:val="16"/>
                <w:lang w:val="en-US" w:eastAsia="zh-CN" w:bidi="ar"/>
              </w:rPr>
              <w:t>申报绩效目标项目数量*2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8E35F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AB8FB81">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77C1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162D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5BABCF">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F3A20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评价层次</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F6BF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1527BF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部门是否对下级预算单位开展整体绩效评价。</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225B797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实施评价下级预算单位的得分，否则不得分。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19003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3341FB3">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75D8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AFA10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7F2F9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6A05AA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评价结果报告</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FBCD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7C39B70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部门是否按要求向财政部门报告自评报告等相关绩效信息。</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0B4E3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6"/>
                <w:szCs w:val="16"/>
                <w:u w:val="none"/>
              </w:rPr>
            </w:pPr>
            <w:r>
              <w:rPr>
                <w:rStyle w:val="23"/>
                <w:sz w:val="16"/>
                <w:szCs w:val="16"/>
                <w:lang w:val="en-US" w:eastAsia="zh-CN" w:bidi="ar"/>
              </w:rPr>
              <w:t>未按要求报送的，发现一处扣</w:t>
            </w:r>
            <w:r>
              <w:rPr>
                <w:rStyle w:val="24"/>
                <w:rFonts w:eastAsia="宋体"/>
                <w:sz w:val="16"/>
                <w:szCs w:val="16"/>
                <w:lang w:val="en-US" w:eastAsia="zh-CN" w:bidi="ar"/>
              </w:rPr>
              <w:t>0.5</w:t>
            </w:r>
            <w:r>
              <w:rPr>
                <w:rStyle w:val="23"/>
                <w:sz w:val="16"/>
                <w:szCs w:val="16"/>
                <w:lang w:val="en-US" w:eastAsia="zh-CN" w:bidi="ar"/>
              </w:rPr>
              <w:t>分，直至扣完。</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3C8FE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D522D37">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6923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3D58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绩效结果应用（25分）</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611650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内部应用（10分）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F81D7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预算挂钩</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42B1AB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65DF9AC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部门内部绩效结果与预算挂钩情况。</w:t>
            </w:r>
          </w:p>
        </w:tc>
        <w:tc>
          <w:tcPr>
            <w:tcW w:w="4066" w:type="dxa"/>
            <w:tcBorders>
              <w:top w:val="single" w:color="000000" w:sz="4" w:space="0"/>
              <w:left w:val="single" w:color="000000" w:sz="4" w:space="0"/>
              <w:bottom w:val="single" w:color="000000" w:sz="4" w:space="0"/>
              <w:right w:val="nil"/>
            </w:tcBorders>
            <w:noWrap w:val="0"/>
            <w:vAlign w:val="center"/>
          </w:tcPr>
          <w:p w14:paraId="476B7CF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将内设机构和下属单位绩效自评情况纳入内部考核体系，得5分；建立对内设机构和下属单位预算与绩效挂钩机制的，得5分；否则酌情扣分。    </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4DB55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604F04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5485E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E2D2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tcBorders>
              <w:top w:val="nil"/>
              <w:left w:val="single" w:color="000000" w:sz="4" w:space="0"/>
              <w:bottom w:val="single" w:color="000000" w:sz="4" w:space="0"/>
              <w:right w:val="single" w:color="000000" w:sz="4" w:space="0"/>
            </w:tcBorders>
            <w:noWrap w:val="0"/>
            <w:vAlign w:val="center"/>
          </w:tcPr>
          <w:p w14:paraId="2D206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信息公开（5分）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2F5A6C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自评公开</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3946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5A95F57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评价部门是否按要求将部门整体绩效自评情况和自行组织的评价情况向社会公开。</w:t>
            </w:r>
          </w:p>
        </w:tc>
        <w:tc>
          <w:tcPr>
            <w:tcW w:w="4066" w:type="dxa"/>
            <w:tcBorders>
              <w:top w:val="single" w:color="000000" w:sz="4" w:space="0"/>
              <w:left w:val="single" w:color="000000" w:sz="4" w:space="0"/>
              <w:bottom w:val="single" w:color="000000" w:sz="4" w:space="0"/>
              <w:right w:val="nil"/>
            </w:tcBorders>
            <w:noWrap w:val="0"/>
            <w:vAlign w:val="center"/>
          </w:tcPr>
          <w:p w14:paraId="54C9E0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按要求将相关绩效信息随同决算公开的，得5分，否则不得分。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038AC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C12C52F">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0F419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88D8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restart"/>
            <w:tcBorders>
              <w:top w:val="single" w:color="000000" w:sz="4" w:space="0"/>
              <w:left w:val="single" w:color="000000" w:sz="4" w:space="0"/>
              <w:bottom w:val="single" w:color="000000" w:sz="4" w:space="0"/>
              <w:right w:val="single" w:color="000000" w:sz="4" w:space="0"/>
            </w:tcBorders>
            <w:noWrap w:val="0"/>
            <w:vAlign w:val="center"/>
          </w:tcPr>
          <w:p w14:paraId="22183D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整改反馈（10分）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3E947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问题整改</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7F42D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D721E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评价部门根据绩效管理结果整改问题、完善政策、改进管理的情况。</w:t>
            </w:r>
          </w:p>
        </w:tc>
        <w:tc>
          <w:tcPr>
            <w:tcW w:w="4066" w:type="dxa"/>
            <w:tcBorders>
              <w:top w:val="single" w:color="000000" w:sz="4" w:space="0"/>
              <w:left w:val="single" w:color="000000" w:sz="4" w:space="0"/>
              <w:bottom w:val="single" w:color="000000" w:sz="4" w:space="0"/>
              <w:right w:val="nil"/>
            </w:tcBorders>
            <w:noWrap w:val="0"/>
            <w:vAlign w:val="center"/>
          </w:tcPr>
          <w:p w14:paraId="521FE6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针对绩效管理过程中（包括绩效目标核查、绩效监控核查和重点绩效评价）提出的问题进行整改，得5分，否则酌情扣分。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8144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C87499D">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1"/>
                <w:szCs w:val="11"/>
                <w:u w:val="none"/>
              </w:rPr>
            </w:pPr>
          </w:p>
        </w:tc>
      </w:tr>
      <w:tr w14:paraId="4E60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5FBF6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83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4F59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62802A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应用反馈</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1D09E6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07E8EB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评价部门按要求及时向财政部门反馈问题整改及结果应用情况。</w:t>
            </w:r>
          </w:p>
        </w:tc>
        <w:tc>
          <w:tcPr>
            <w:tcW w:w="4066" w:type="dxa"/>
            <w:tcBorders>
              <w:top w:val="single" w:color="000000" w:sz="4" w:space="0"/>
              <w:left w:val="single" w:color="000000" w:sz="4" w:space="0"/>
              <w:bottom w:val="single" w:color="000000" w:sz="4" w:space="0"/>
              <w:right w:val="nil"/>
            </w:tcBorders>
            <w:noWrap w:val="0"/>
            <w:vAlign w:val="center"/>
          </w:tcPr>
          <w:p w14:paraId="63C0DB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部门在规定时间内向财政部门反馈问题整改和应用绩效结果报告的，得5分，否则不得分。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BA5A4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FC120D2">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24B8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47" w:type="dxa"/>
            <w:tcBorders>
              <w:top w:val="single" w:color="000000" w:sz="4" w:space="0"/>
              <w:left w:val="single" w:color="000000" w:sz="4" w:space="0"/>
              <w:bottom w:val="single" w:color="000000" w:sz="4" w:space="0"/>
              <w:right w:val="single" w:color="000000" w:sz="4" w:space="0"/>
            </w:tcBorders>
            <w:noWrap w:val="0"/>
            <w:vAlign w:val="center"/>
          </w:tcPr>
          <w:p w14:paraId="54584F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自评质量（10分）</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14:paraId="5A4694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自评质量（10分）</w:t>
            </w:r>
          </w:p>
        </w:tc>
        <w:tc>
          <w:tcPr>
            <w:tcW w:w="2116" w:type="dxa"/>
            <w:tcBorders>
              <w:top w:val="single" w:color="000000" w:sz="4" w:space="0"/>
              <w:left w:val="single" w:color="000000" w:sz="4" w:space="0"/>
              <w:bottom w:val="single" w:color="000000" w:sz="4" w:space="0"/>
              <w:right w:val="single" w:color="000000" w:sz="4" w:space="0"/>
            </w:tcBorders>
            <w:noWrap w:val="0"/>
            <w:vAlign w:val="center"/>
          </w:tcPr>
          <w:p w14:paraId="7ACFF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自评质量</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2D1EE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3FFF530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评价部门整体支出自评准确率。</w:t>
            </w:r>
          </w:p>
        </w:tc>
        <w:tc>
          <w:tcPr>
            <w:tcW w:w="4066" w:type="dxa"/>
            <w:tcBorders>
              <w:top w:val="single" w:color="000000" w:sz="4" w:space="0"/>
              <w:left w:val="single" w:color="000000" w:sz="4" w:space="0"/>
              <w:bottom w:val="single" w:color="000000" w:sz="4" w:space="0"/>
              <w:right w:val="nil"/>
            </w:tcBorders>
            <w:noWrap w:val="0"/>
            <w:vAlign w:val="center"/>
          </w:tcPr>
          <w:p w14:paraId="57765C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A5D1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AD6E1A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1CA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67C9FA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扣分项（10分）</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06E7E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04C9F3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被评价单位配合评价工作情况。</w:t>
            </w:r>
          </w:p>
        </w:tc>
        <w:tc>
          <w:tcPr>
            <w:tcW w:w="4066" w:type="dxa"/>
            <w:tcBorders>
              <w:top w:val="single" w:color="000000" w:sz="4" w:space="0"/>
              <w:left w:val="single" w:color="000000" w:sz="4" w:space="0"/>
              <w:bottom w:val="single" w:color="000000" w:sz="4" w:space="0"/>
              <w:right w:val="nil"/>
            </w:tcBorders>
            <w:noWrap w:val="0"/>
            <w:vAlign w:val="center"/>
          </w:tcPr>
          <w:p w14:paraId="635140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B0F1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E8B076B">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4B097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99" w:type="dxa"/>
            <w:gridSpan w:val="3"/>
            <w:tcBorders>
              <w:top w:val="single" w:color="000000" w:sz="4" w:space="0"/>
              <w:left w:val="single" w:color="000000" w:sz="4" w:space="0"/>
              <w:bottom w:val="single" w:color="000000" w:sz="4" w:space="0"/>
              <w:right w:val="single" w:color="000000" w:sz="4" w:space="0"/>
            </w:tcBorders>
            <w:noWrap w:val="0"/>
            <w:vAlign w:val="center"/>
          </w:tcPr>
          <w:p w14:paraId="3AE56B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771" w:type="dxa"/>
            <w:tcBorders>
              <w:top w:val="single" w:color="000000" w:sz="4" w:space="0"/>
              <w:left w:val="single" w:color="000000" w:sz="4" w:space="0"/>
              <w:bottom w:val="single" w:color="000000" w:sz="4" w:space="0"/>
              <w:right w:val="single" w:color="000000" w:sz="4" w:space="0"/>
            </w:tcBorders>
            <w:noWrap w:val="0"/>
            <w:vAlign w:val="center"/>
          </w:tcPr>
          <w:p w14:paraId="592C4E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206" w:type="dxa"/>
            <w:tcBorders>
              <w:top w:val="single" w:color="000000" w:sz="4" w:space="0"/>
              <w:left w:val="single" w:color="000000" w:sz="4" w:space="0"/>
              <w:bottom w:val="single" w:color="000000" w:sz="4" w:space="0"/>
              <w:right w:val="single" w:color="000000" w:sz="4" w:space="0"/>
            </w:tcBorders>
            <w:noWrap w:val="0"/>
            <w:vAlign w:val="center"/>
          </w:tcPr>
          <w:p w14:paraId="06F5D4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7C6B2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2B5E0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99.5</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F135AD8">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6"/>
                <w:szCs w:val="16"/>
                <w:u w:val="none"/>
              </w:rPr>
            </w:pPr>
          </w:p>
        </w:tc>
      </w:tr>
      <w:tr w14:paraId="3501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76" w:type="dxa"/>
            <w:gridSpan w:val="8"/>
            <w:tcBorders>
              <w:top w:val="single" w:color="000000" w:sz="4" w:space="0"/>
              <w:left w:val="single" w:color="000000" w:sz="4" w:space="0"/>
              <w:bottom w:val="single" w:color="000000" w:sz="4" w:space="0"/>
              <w:right w:val="single" w:color="000000" w:sz="4" w:space="0"/>
            </w:tcBorders>
            <w:noWrap w:val="0"/>
            <w:vAlign w:val="center"/>
          </w:tcPr>
          <w:p w14:paraId="4AE1FC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注：若某部门不存在某项评价内容或评价指标，则该评价内容或评价指标不计入该部门考核评价范围，即该部门评价总分＝不含该评价内容或指标的评价总分/（100—该评价内容或指标所占分值）*100。</w:t>
            </w:r>
          </w:p>
        </w:tc>
      </w:tr>
    </w:tbl>
    <w:p w14:paraId="364BCA74">
      <w:pPr>
        <w:rPr>
          <w:rFonts w:hint="eastAsia"/>
          <w:lang w:val="en-US" w:eastAsia="zh-CN"/>
        </w:rPr>
        <w:sectPr>
          <w:pgSz w:w="16838" w:h="11906" w:orient="landscape"/>
          <w:pgMar w:top="1800" w:right="1440" w:bottom="1800" w:left="1440" w:header="851" w:footer="992" w:gutter="0"/>
          <w:pgNumType w:fmt="decimal"/>
          <w:cols w:space="425" w:num="1"/>
          <w:docGrid w:type="lines" w:linePitch="312" w:charSpace="0"/>
        </w:sectPr>
      </w:pPr>
    </w:p>
    <w:p w14:paraId="2076C7C9">
      <w:pPr>
        <w:keepNext w:val="0"/>
        <w:keepLines w:val="0"/>
        <w:widowControl w:val="0"/>
        <w:suppressLineNumbers w:val="0"/>
        <w:spacing w:before="0" w:beforeAutospacing="0" w:after="0" w:afterAutospacing="0" w:line="580" w:lineRule="exact"/>
        <w:ind w:left="0" w:right="0"/>
        <w:jc w:val="both"/>
        <w:outlineLvl w:val="9"/>
        <w:rPr>
          <w:rFonts w:hint="eastAsia" w:eastAsia="黑体" w:cs="黑体"/>
          <w:kern w:val="2"/>
          <w:sz w:val="32"/>
          <w:szCs w:val="24"/>
          <w:lang w:val="en-US" w:eastAsia="zh-CN" w:bidi="ar"/>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p>
    <w:p w14:paraId="078C81E8">
      <w:pPr>
        <w:pStyle w:val="22"/>
        <w:widowControl/>
        <w:spacing w:line="580" w:lineRule="exact"/>
        <w:ind w:left="0" w:firstLine="883"/>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2024年市级部门</w:t>
      </w:r>
      <w:r>
        <w:rPr>
          <w:rFonts w:hint="eastAsia" w:ascii="Times New Roman" w:hAnsi="Times New Roman" w:eastAsia="方正小标宋简体" w:cs="方正小标宋简体"/>
          <w:sz w:val="44"/>
          <w:szCs w:val="44"/>
        </w:rPr>
        <w:t>项目支出</w:t>
      </w:r>
    </w:p>
    <w:p w14:paraId="23CADC3B">
      <w:pPr>
        <w:pStyle w:val="22"/>
        <w:widowControl/>
        <w:spacing w:line="580" w:lineRule="exact"/>
        <w:ind w:left="0" w:firstLine="883"/>
        <w:jc w:val="center"/>
        <w:rPr>
          <w:rFonts w:hint="default" w:ascii="Times New Roman" w:hAnsi="Times New Roman" w:eastAsia="仿宋_GB2312" w:cs="Times New Roman"/>
          <w:color w:val="auto"/>
          <w:kern w:val="2"/>
          <w:sz w:val="32"/>
          <w:szCs w:val="32"/>
        </w:rPr>
      </w:pPr>
      <w:r>
        <w:rPr>
          <w:rFonts w:hint="eastAsia" w:ascii="Times New Roman" w:hAnsi="Times New Roman" w:eastAsia="方正小标宋简体" w:cs="方正小标宋简体"/>
          <w:sz w:val="44"/>
          <w:szCs w:val="44"/>
        </w:rPr>
        <w:t>绩效</w:t>
      </w:r>
      <w:r>
        <w:rPr>
          <w:rFonts w:hint="eastAsia" w:ascii="Times New Roman" w:hAnsi="Times New Roman" w:eastAsia="方正小标宋简体" w:cs="方正小标宋简体"/>
          <w:sz w:val="44"/>
          <w:szCs w:val="44"/>
          <w:lang w:val="en-US" w:eastAsia="zh-CN"/>
        </w:rPr>
        <w:t>自评</w:t>
      </w:r>
      <w:r>
        <w:rPr>
          <w:rFonts w:hint="eastAsia" w:ascii="Times New Roman" w:hAnsi="Times New Roman" w:eastAsia="方正小标宋简体" w:cs="方正小标宋简体"/>
          <w:sz w:val="44"/>
          <w:szCs w:val="44"/>
        </w:rPr>
        <w:t>报告</w:t>
      </w:r>
    </w:p>
    <w:p w14:paraId="7B8DE173">
      <w:pPr>
        <w:keepNext w:val="0"/>
        <w:keepLines w:val="0"/>
        <w:widowControl w:val="0"/>
        <w:suppressLineNumbers w:val="0"/>
        <w:spacing w:before="0" w:beforeAutospacing="0" w:after="0" w:afterAutospacing="0" w:line="580" w:lineRule="exact"/>
        <w:ind w:left="0" w:right="0"/>
        <w:jc w:val="center"/>
        <w:rPr>
          <w:rFonts w:ascii="Times New Roman" w:hAnsi="Times New Roman" w:eastAsia="仿宋_GB2312" w:cs="Times New Roman"/>
          <w:sz w:val="32"/>
          <w:lang w:val="en-US"/>
        </w:rPr>
      </w:pPr>
      <w:r>
        <w:rPr>
          <w:rFonts w:hint="eastAsia" w:ascii="Times New Roman" w:hAnsi="Times New Roman" w:eastAsia="仿宋_GB2312" w:cs="仿宋_GB2312"/>
          <w:kern w:val="2"/>
          <w:sz w:val="32"/>
          <w:szCs w:val="24"/>
          <w:lang w:val="en-US" w:eastAsia="zh-CN" w:bidi="ar"/>
        </w:rPr>
        <w:t>（</w:t>
      </w:r>
      <w:r>
        <w:rPr>
          <w:rFonts w:hint="eastAsia" w:ascii="Times New Roman" w:hAnsi="Times New Roman" w:cs="仿宋_GB2312"/>
          <w:kern w:val="2"/>
          <w:sz w:val="32"/>
          <w:szCs w:val="24"/>
          <w:lang w:val="en-US" w:eastAsia="zh-CN" w:bidi="ar"/>
        </w:rPr>
        <w:t>红十字“救”在身边</w:t>
      </w:r>
      <w:r>
        <w:rPr>
          <w:rFonts w:hint="eastAsia" w:ascii="Times New Roman" w:hAnsi="Times New Roman" w:eastAsia="仿宋_GB2312" w:cs="仿宋_GB2312"/>
          <w:kern w:val="2"/>
          <w:sz w:val="32"/>
          <w:szCs w:val="24"/>
          <w:lang w:val="en-US" w:eastAsia="zh-CN" w:bidi="ar"/>
        </w:rPr>
        <w:t>项目）</w:t>
      </w:r>
    </w:p>
    <w:p w14:paraId="50906B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kern w:val="2"/>
          <w:sz w:val="32"/>
          <w:szCs w:val="24"/>
          <w:lang w:val="en-US" w:eastAsia="zh-CN" w:bidi="ar"/>
        </w:rPr>
      </w:pPr>
    </w:p>
    <w:p w14:paraId="30D68F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sz w:val="32"/>
          <w:lang w:val="zh-CN" w:eastAsia="zh-CN"/>
        </w:rPr>
      </w:pPr>
      <w:r>
        <w:rPr>
          <w:rFonts w:hint="default" w:ascii="Times New Roman" w:hAnsi="Times New Roman" w:eastAsia="黑体" w:cs="Times New Roman"/>
          <w:kern w:val="2"/>
          <w:sz w:val="32"/>
          <w:szCs w:val="24"/>
          <w:lang w:val="en-US" w:eastAsia="zh-CN" w:bidi="ar"/>
        </w:rPr>
        <w:t>一、</w:t>
      </w:r>
      <w:r>
        <w:rPr>
          <w:rFonts w:hint="default" w:ascii="Times New Roman" w:hAnsi="Times New Roman" w:eastAsia="黑体" w:cs="Times New Roman"/>
          <w:kern w:val="2"/>
          <w:sz w:val="32"/>
          <w:szCs w:val="24"/>
          <w:lang w:val="zh-CN" w:eastAsia="zh-CN" w:bidi="ar"/>
        </w:rPr>
        <w:t>项目概况</w:t>
      </w:r>
    </w:p>
    <w:p w14:paraId="36C1E5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b w:val="0"/>
          <w:bCs/>
          <w:kern w:val="2"/>
          <w:sz w:val="32"/>
          <w:szCs w:val="24"/>
          <w:lang w:val="zh-CN" w:eastAsia="zh-CN" w:bidi="ar"/>
        </w:rPr>
        <w:t>（一）项目资金申报及批复情况。</w:t>
      </w:r>
      <w:r>
        <w:rPr>
          <w:rFonts w:hint="eastAsia" w:ascii="Times New Roman" w:hAnsi="Times New Roman" w:eastAsia="仿宋_GB2312" w:cs="Times New Roman"/>
          <w:kern w:val="2"/>
          <w:sz w:val="32"/>
          <w:szCs w:val="24"/>
          <w:lang w:val="en-US" w:eastAsia="zh-CN" w:bidi="ar"/>
        </w:rPr>
        <w:t>严格按照预算编制口径和项目准入要求，由财务经办科室提出项目申请，经市红十字会党组会研究同意后按程序报财政审核、人大审批，项目申报程序</w:t>
      </w:r>
      <w:r>
        <w:rPr>
          <w:rFonts w:hint="default" w:ascii="Times New Roman" w:hAnsi="Times New Roman" w:eastAsia="仿宋_GB2312" w:cs="Times New Roman"/>
          <w:kern w:val="2"/>
          <w:sz w:val="32"/>
          <w:szCs w:val="24"/>
          <w:lang w:val="zh-CN" w:eastAsia="zh-CN" w:bidi="ar"/>
        </w:rPr>
        <w:t>符合资金管理办法等相关规定。</w:t>
      </w:r>
    </w:p>
    <w:p w14:paraId="0A621C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b w:val="0"/>
          <w:bCs/>
          <w:kern w:val="2"/>
          <w:sz w:val="32"/>
          <w:szCs w:val="24"/>
          <w:lang w:val="zh-CN" w:eastAsia="zh-CN" w:bidi="ar"/>
        </w:rPr>
        <w:t>（二）项目绩效目标。</w:t>
      </w:r>
      <w:r>
        <w:rPr>
          <w:rFonts w:hint="eastAsia" w:ascii="Times New Roman" w:hAnsi="Times New Roman" w:cs="Times New Roman"/>
          <w:kern w:val="2"/>
          <w:sz w:val="32"/>
          <w:szCs w:val="24"/>
          <w:lang w:val="en-US" w:eastAsia="zh-CN" w:bidi="ar"/>
        </w:rPr>
        <w:t>科学设置年度绩效目标，并根据年度绩效目标设置产出指标3个（分别是：开展急救知识普及培训人数≥20000人，全年开展志愿服务活动≥80场次，采集造血干细胞血样≥100份）、效益指标1个（提升公众自救互救意识）、满意度指标1个（服务救助对象对红十字救在身边工作满意度≥95%）</w:t>
      </w:r>
      <w:r>
        <w:rPr>
          <w:rFonts w:hint="default" w:ascii="Times New Roman" w:hAnsi="Times New Roman" w:eastAsia="仿宋_GB2312" w:cs="Times New Roman"/>
          <w:kern w:val="2"/>
          <w:sz w:val="32"/>
          <w:szCs w:val="24"/>
          <w:lang w:val="zh-CN" w:eastAsia="zh-CN" w:bidi="ar"/>
        </w:rPr>
        <w:t>。</w:t>
      </w:r>
    </w:p>
    <w:p w14:paraId="59BE78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b w:val="0"/>
          <w:bCs/>
          <w:kern w:val="2"/>
          <w:sz w:val="32"/>
          <w:szCs w:val="24"/>
          <w:lang w:val="zh-CN" w:eastAsia="zh-CN" w:bidi="ar"/>
        </w:rPr>
        <w:t>（三）项目资金申报相符性。</w:t>
      </w:r>
      <w:r>
        <w:rPr>
          <w:rFonts w:hint="eastAsia" w:ascii="Times New Roman" w:hAnsi="Times New Roman" w:eastAsia="仿宋_GB2312" w:cs="Times New Roman"/>
          <w:kern w:val="2"/>
          <w:sz w:val="32"/>
          <w:szCs w:val="24"/>
          <w:lang w:val="en-US" w:eastAsia="zh-CN" w:bidi="ar"/>
        </w:rPr>
        <w:t>项目资金申报内容与具体实施内容总体一致，申报目标合理可行，预算资金能满足项目开展需求。</w:t>
      </w:r>
    </w:p>
    <w:p w14:paraId="5D864A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sz w:val="32"/>
          <w:lang w:val="en-US"/>
        </w:rPr>
      </w:pPr>
      <w:r>
        <w:rPr>
          <w:rFonts w:hint="default" w:ascii="Times New Roman" w:hAnsi="Times New Roman" w:eastAsia="黑体" w:cs="Times New Roman"/>
          <w:kern w:val="2"/>
          <w:sz w:val="32"/>
          <w:szCs w:val="24"/>
          <w:lang w:val="en-US" w:eastAsia="zh-CN" w:bidi="ar"/>
        </w:rPr>
        <w:t>二、项目实施及管理情况</w:t>
      </w:r>
    </w:p>
    <w:p w14:paraId="360635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val="0"/>
          <w:sz w:val="32"/>
          <w:lang w:val="zh-CN" w:eastAsia="zh-CN"/>
        </w:rPr>
      </w:pPr>
      <w:r>
        <w:rPr>
          <w:rFonts w:hint="default" w:ascii="Times New Roman" w:hAnsi="Times New Roman" w:eastAsia="楷体_GB2312" w:cs="Times New Roman"/>
          <w:b w:val="0"/>
          <w:bCs w:val="0"/>
          <w:kern w:val="2"/>
          <w:sz w:val="32"/>
          <w:szCs w:val="24"/>
          <w:lang w:val="zh-CN" w:eastAsia="zh-CN" w:bidi="ar"/>
        </w:rPr>
        <w:t>（一）资金计划、到位及使用情况。</w:t>
      </w:r>
    </w:p>
    <w:p w14:paraId="3EF482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kern w:val="2"/>
          <w:sz w:val="32"/>
          <w:szCs w:val="24"/>
          <w:lang w:val="zh-CN" w:eastAsia="zh-CN" w:bidi="ar"/>
        </w:rPr>
      </w:pPr>
      <w:r>
        <w:rPr>
          <w:rFonts w:hint="default" w:ascii="Times New Roman" w:hAnsi="Times New Roman" w:eastAsia="楷体_GB2312" w:cs="Times New Roman"/>
          <w:kern w:val="2"/>
          <w:sz w:val="32"/>
          <w:szCs w:val="24"/>
          <w:lang w:val="zh-CN" w:eastAsia="zh-CN" w:bidi="ar"/>
        </w:rPr>
        <w:t>1．资金计划及到位。</w:t>
      </w:r>
      <w:r>
        <w:rPr>
          <w:rFonts w:hint="eastAsia" w:ascii="Times New Roman" w:hAnsi="Times New Roman" w:cs="仿宋_GB2312"/>
          <w:kern w:val="2"/>
          <w:sz w:val="32"/>
          <w:szCs w:val="24"/>
          <w:lang w:val="en-US" w:eastAsia="zh-CN" w:bidi="ar"/>
        </w:rPr>
        <w:t>红十字“救”在身边</w:t>
      </w:r>
      <w:r>
        <w:rPr>
          <w:rFonts w:hint="eastAsia" w:ascii="Times New Roman" w:hAnsi="Times New Roman" w:eastAsia="仿宋_GB2312" w:cs="仿宋_GB2312"/>
          <w:kern w:val="2"/>
          <w:sz w:val="32"/>
          <w:szCs w:val="24"/>
          <w:lang w:val="en-US" w:eastAsia="zh-CN" w:bidi="ar"/>
        </w:rPr>
        <w:t>项目</w:t>
      </w:r>
      <w:r>
        <w:rPr>
          <w:rFonts w:hint="eastAsia" w:ascii="Times New Roman" w:hAnsi="Times New Roman" w:cs="仿宋_GB2312"/>
          <w:kern w:val="2"/>
          <w:sz w:val="32"/>
          <w:szCs w:val="24"/>
          <w:lang w:val="en-US" w:eastAsia="zh-CN" w:bidi="ar"/>
        </w:rPr>
        <w:t>预算资金20万元，</w:t>
      </w:r>
      <w:r>
        <w:rPr>
          <w:rFonts w:hint="eastAsia" w:ascii="Times New Roman" w:hAnsi="Times New Roman" w:cs="Times New Roman"/>
          <w:kern w:val="2"/>
          <w:sz w:val="32"/>
          <w:szCs w:val="24"/>
          <w:lang w:val="en-US" w:eastAsia="zh-CN" w:bidi="ar"/>
        </w:rPr>
        <w:t>为市级财政资金，全部及时到位，有效保障项目的顺利实施，</w:t>
      </w:r>
      <w:r>
        <w:rPr>
          <w:rFonts w:hint="eastAsia" w:cs="Times New Roman"/>
          <w:kern w:val="2"/>
          <w:sz w:val="32"/>
          <w:szCs w:val="24"/>
          <w:lang w:val="en-US" w:eastAsia="zh-CN" w:bidi="ar"/>
        </w:rPr>
        <w:t>截至</w:t>
      </w:r>
      <w:r>
        <w:rPr>
          <w:rFonts w:hint="default" w:ascii="Times New Roman" w:hAnsi="Times New Roman" w:eastAsia="仿宋_GB2312" w:cs="Times New Roman"/>
          <w:kern w:val="2"/>
          <w:sz w:val="32"/>
          <w:szCs w:val="24"/>
          <w:lang w:val="zh-CN" w:eastAsia="zh-CN" w:bidi="ar"/>
        </w:rPr>
        <w:t>评价时点实际到位</w:t>
      </w:r>
      <w:r>
        <w:rPr>
          <w:rFonts w:hint="eastAsia" w:ascii="Times New Roman" w:hAnsi="Times New Roman" w:cs="Times New Roman"/>
          <w:kern w:val="2"/>
          <w:sz w:val="32"/>
          <w:szCs w:val="24"/>
          <w:lang w:val="en-US" w:eastAsia="zh-CN" w:bidi="ar"/>
        </w:rPr>
        <w:t>率100%</w:t>
      </w:r>
      <w:r>
        <w:rPr>
          <w:rFonts w:hint="default" w:ascii="Times New Roman" w:hAnsi="Times New Roman" w:eastAsia="仿宋_GB2312" w:cs="Times New Roman"/>
          <w:kern w:val="2"/>
          <w:sz w:val="32"/>
          <w:szCs w:val="24"/>
          <w:lang w:val="zh-CN" w:eastAsia="zh-CN" w:bidi="ar"/>
        </w:rPr>
        <w:t>。</w:t>
      </w:r>
    </w:p>
    <w:p w14:paraId="6BBE0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楷体_GB2312" w:cs="Times New Roman"/>
          <w:kern w:val="2"/>
          <w:sz w:val="32"/>
          <w:szCs w:val="24"/>
          <w:lang w:val="zh-CN" w:eastAsia="zh-CN" w:bidi="ar"/>
        </w:rPr>
        <w:t>2．资金使用。</w:t>
      </w:r>
      <w:r>
        <w:rPr>
          <w:rFonts w:hint="eastAsia" w:eastAsia="楷体_GB2312" w:cs="Times New Roman"/>
          <w:kern w:val="2"/>
          <w:sz w:val="32"/>
          <w:szCs w:val="24"/>
          <w:lang w:val="zh-CN" w:eastAsia="zh-CN" w:bidi="ar"/>
        </w:rPr>
        <w:t>截至</w:t>
      </w:r>
      <w:r>
        <w:rPr>
          <w:rFonts w:hint="default" w:ascii="Times New Roman" w:hAnsi="Times New Roman" w:eastAsia="仿宋_GB2312" w:cs="Times New Roman"/>
          <w:kern w:val="2"/>
          <w:sz w:val="32"/>
          <w:szCs w:val="24"/>
          <w:lang w:val="zh-CN" w:eastAsia="zh-CN" w:bidi="ar"/>
        </w:rPr>
        <w:t>评价时点项目资金的实际支出</w:t>
      </w:r>
      <w:r>
        <w:rPr>
          <w:rFonts w:hint="eastAsia" w:ascii="Times New Roman" w:hAnsi="Times New Roman" w:cs="Times New Roman"/>
          <w:kern w:val="2"/>
          <w:sz w:val="32"/>
          <w:szCs w:val="24"/>
          <w:lang w:val="en-US" w:eastAsia="zh-CN" w:bidi="ar"/>
        </w:rPr>
        <w:t>20万元，预算执行率100%，全部用于开展“救在身边”系列活动。全年开展急救知识普及培训人数达到4.24万</w:t>
      </w:r>
      <w:r>
        <w:rPr>
          <w:rFonts w:hint="eastAsia" w:cs="Times New Roman"/>
          <w:kern w:val="2"/>
          <w:sz w:val="32"/>
          <w:szCs w:val="24"/>
          <w:lang w:val="en-US" w:eastAsia="zh-CN" w:bidi="ar"/>
        </w:rPr>
        <w:t>人</w:t>
      </w:r>
      <w:r>
        <w:rPr>
          <w:rFonts w:hint="eastAsia" w:ascii="Times New Roman" w:hAnsi="Times New Roman" w:cs="Times New Roman"/>
          <w:kern w:val="2"/>
          <w:sz w:val="32"/>
          <w:szCs w:val="24"/>
          <w:lang w:val="en-US" w:eastAsia="zh-CN" w:bidi="ar"/>
        </w:rPr>
        <w:t>，开展志愿服务活动100余场次，采集造血干细胞血样188份等。所有</w:t>
      </w:r>
      <w:r>
        <w:rPr>
          <w:rFonts w:hint="default" w:ascii="Times New Roman" w:hAnsi="Times New Roman" w:eastAsia="仿宋_GB2312" w:cs="Times New Roman"/>
          <w:kern w:val="2"/>
          <w:sz w:val="32"/>
          <w:szCs w:val="24"/>
          <w:lang w:val="zh-CN" w:eastAsia="zh-CN" w:bidi="ar"/>
        </w:rPr>
        <w:t>资金开支</w:t>
      </w:r>
      <w:r>
        <w:rPr>
          <w:rFonts w:hint="eastAsia" w:ascii="Times New Roman" w:hAnsi="Times New Roman" w:cs="Times New Roman"/>
          <w:kern w:val="2"/>
          <w:sz w:val="32"/>
          <w:szCs w:val="24"/>
          <w:lang w:val="en-US" w:eastAsia="zh-CN" w:bidi="ar"/>
        </w:rPr>
        <w:t>均在使用</w:t>
      </w:r>
      <w:r>
        <w:rPr>
          <w:rFonts w:hint="default" w:ascii="Times New Roman" w:hAnsi="Times New Roman" w:eastAsia="仿宋_GB2312" w:cs="Times New Roman"/>
          <w:kern w:val="2"/>
          <w:sz w:val="32"/>
          <w:szCs w:val="24"/>
          <w:lang w:val="zh-CN" w:eastAsia="zh-CN" w:bidi="ar"/>
        </w:rPr>
        <w:t>范围</w:t>
      </w:r>
      <w:r>
        <w:rPr>
          <w:rFonts w:hint="eastAsia" w:ascii="Times New Roman" w:hAnsi="Times New Roman" w:cs="Times New Roman"/>
          <w:kern w:val="2"/>
          <w:sz w:val="32"/>
          <w:szCs w:val="24"/>
          <w:lang w:val="en-US" w:eastAsia="zh-CN" w:bidi="ar"/>
        </w:rPr>
        <w:t>内，并严格按照支付</w:t>
      </w:r>
      <w:r>
        <w:rPr>
          <w:rFonts w:hint="default" w:ascii="Times New Roman" w:hAnsi="Times New Roman" w:eastAsia="仿宋_GB2312" w:cs="Times New Roman"/>
          <w:kern w:val="2"/>
          <w:sz w:val="32"/>
          <w:szCs w:val="24"/>
          <w:lang w:val="zh-CN" w:eastAsia="zh-CN" w:bidi="ar"/>
        </w:rPr>
        <w:t>标准及支付进度</w:t>
      </w:r>
      <w:r>
        <w:rPr>
          <w:rFonts w:hint="eastAsia" w:ascii="Times New Roman" w:hAnsi="Times New Roman" w:cs="Times New Roman"/>
          <w:kern w:val="2"/>
          <w:sz w:val="32"/>
          <w:szCs w:val="24"/>
          <w:lang w:val="en-US" w:eastAsia="zh-CN" w:bidi="ar"/>
        </w:rPr>
        <w:t>进行</w:t>
      </w:r>
      <w:r>
        <w:rPr>
          <w:rFonts w:hint="default" w:ascii="Times New Roman" w:hAnsi="Times New Roman" w:eastAsia="仿宋_GB2312" w:cs="Times New Roman"/>
          <w:kern w:val="2"/>
          <w:sz w:val="32"/>
          <w:szCs w:val="24"/>
          <w:lang w:val="zh-CN" w:eastAsia="zh-CN" w:bidi="ar"/>
        </w:rPr>
        <w:t>，支付依据合规合法，资金支付与预算相</w:t>
      </w:r>
      <w:bookmarkStart w:id="85" w:name="_GoBack"/>
      <w:bookmarkEnd w:id="85"/>
      <w:r>
        <w:rPr>
          <w:rFonts w:hint="default" w:ascii="Times New Roman" w:hAnsi="Times New Roman" w:eastAsia="仿宋_GB2312" w:cs="Times New Roman"/>
          <w:kern w:val="2"/>
          <w:sz w:val="32"/>
          <w:szCs w:val="24"/>
          <w:lang w:val="zh-CN" w:eastAsia="zh-CN" w:bidi="ar"/>
        </w:rPr>
        <w:t>符。</w:t>
      </w:r>
    </w:p>
    <w:p w14:paraId="62C91B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sz w:val="32"/>
          <w:lang w:val="zh-CN" w:eastAsia="zh-CN"/>
        </w:rPr>
      </w:pPr>
      <w:r>
        <w:rPr>
          <w:rFonts w:hint="default" w:ascii="Times New Roman" w:hAnsi="Times New Roman" w:eastAsia="楷体_GB2312" w:cs="Times New Roman"/>
          <w:b w:val="0"/>
          <w:bCs/>
          <w:kern w:val="2"/>
          <w:sz w:val="32"/>
          <w:szCs w:val="24"/>
          <w:lang w:val="zh-CN" w:eastAsia="zh-CN" w:bidi="ar"/>
        </w:rPr>
        <w:t>（二）项目财务管理情况。</w:t>
      </w:r>
    </w:p>
    <w:p w14:paraId="076FC3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eastAsia" w:ascii="Times New Roman" w:hAnsi="Times New Roman" w:cs="Times New Roman"/>
          <w:kern w:val="2"/>
          <w:sz w:val="32"/>
          <w:szCs w:val="24"/>
          <w:lang w:val="en-US" w:eastAsia="zh-CN" w:bidi="ar"/>
        </w:rPr>
        <w:t>该项目</w:t>
      </w:r>
      <w:r>
        <w:rPr>
          <w:rFonts w:hint="default" w:ascii="Times New Roman" w:hAnsi="Times New Roman" w:eastAsia="仿宋_GB2312" w:cs="Times New Roman"/>
          <w:kern w:val="2"/>
          <w:sz w:val="32"/>
          <w:szCs w:val="24"/>
          <w:lang w:val="zh-CN" w:eastAsia="zh-CN" w:bidi="ar"/>
        </w:rPr>
        <w:t>严格执行</w:t>
      </w:r>
      <w:r>
        <w:rPr>
          <w:rFonts w:hint="eastAsia" w:ascii="Times New Roman" w:hAnsi="Times New Roman" w:cs="Times New Roman"/>
          <w:kern w:val="2"/>
          <w:sz w:val="32"/>
          <w:szCs w:val="24"/>
          <w:lang w:val="en-US" w:eastAsia="zh-CN" w:bidi="ar"/>
        </w:rPr>
        <w:t>政府</w:t>
      </w:r>
      <w:r>
        <w:rPr>
          <w:rFonts w:hint="default" w:ascii="Times New Roman" w:hAnsi="Times New Roman" w:eastAsia="仿宋_GB2312" w:cs="Times New Roman"/>
          <w:kern w:val="2"/>
          <w:sz w:val="32"/>
          <w:szCs w:val="24"/>
          <w:lang w:val="zh-CN" w:eastAsia="zh-CN" w:bidi="ar"/>
        </w:rPr>
        <w:t>财务管理制度</w:t>
      </w:r>
      <w:r>
        <w:rPr>
          <w:rFonts w:hint="eastAsia" w:ascii="Times New Roman" w:hAnsi="Times New Roman" w:cs="Times New Roman"/>
          <w:kern w:val="2"/>
          <w:sz w:val="32"/>
          <w:szCs w:val="24"/>
          <w:lang w:val="zh-CN" w:eastAsia="zh-CN" w:bidi="ar"/>
        </w:rPr>
        <w:t>，</w:t>
      </w:r>
      <w:r>
        <w:rPr>
          <w:rFonts w:hint="default" w:ascii="Times New Roman" w:hAnsi="Times New Roman" w:eastAsia="仿宋_GB2312" w:cs="Times New Roman"/>
          <w:kern w:val="2"/>
          <w:sz w:val="32"/>
          <w:szCs w:val="24"/>
          <w:lang w:val="zh-CN" w:eastAsia="zh-CN" w:bidi="ar"/>
        </w:rPr>
        <w:t>财务处理及时</w:t>
      </w:r>
      <w:r>
        <w:rPr>
          <w:rFonts w:hint="eastAsia" w:ascii="Times New Roman" w:hAnsi="Times New Roman" w:cs="Times New Roman"/>
          <w:kern w:val="2"/>
          <w:sz w:val="32"/>
          <w:szCs w:val="24"/>
          <w:lang w:val="zh-CN" w:eastAsia="zh-CN" w:bidi="ar"/>
        </w:rPr>
        <w:t>，</w:t>
      </w:r>
      <w:r>
        <w:rPr>
          <w:rFonts w:hint="default" w:ascii="Times New Roman" w:hAnsi="Times New Roman" w:eastAsia="仿宋_GB2312" w:cs="Times New Roman"/>
          <w:kern w:val="2"/>
          <w:sz w:val="32"/>
          <w:szCs w:val="24"/>
          <w:lang w:val="zh-CN" w:eastAsia="zh-CN" w:bidi="ar"/>
        </w:rPr>
        <w:t>会计核算规范。</w:t>
      </w:r>
    </w:p>
    <w:p w14:paraId="5C571A6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sz w:val="32"/>
          <w:lang w:val="zh-CN" w:eastAsia="zh-CN"/>
        </w:rPr>
      </w:pPr>
      <w:r>
        <w:rPr>
          <w:rFonts w:hint="default" w:ascii="Times New Roman" w:hAnsi="Times New Roman" w:eastAsia="楷体_GB2312" w:cs="Times New Roman"/>
          <w:b w:val="0"/>
          <w:bCs/>
          <w:kern w:val="2"/>
          <w:sz w:val="32"/>
          <w:szCs w:val="24"/>
          <w:lang w:val="zh-CN" w:eastAsia="zh-CN" w:bidi="ar"/>
        </w:rPr>
        <w:t>（三）项目组织实施情况。</w:t>
      </w:r>
    </w:p>
    <w:p w14:paraId="3A3945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cs="Times New Roman"/>
          <w:kern w:val="2"/>
          <w:sz w:val="32"/>
          <w:szCs w:val="24"/>
          <w:lang w:val="en-US" w:eastAsia="zh-CN" w:bidi="ar"/>
        </w:rPr>
      </w:pPr>
      <w:r>
        <w:rPr>
          <w:rFonts w:hint="eastAsia" w:ascii="Times New Roman" w:hAnsi="Times New Roman" w:cs="Times New Roman"/>
          <w:kern w:val="2"/>
          <w:sz w:val="32"/>
          <w:szCs w:val="24"/>
          <w:lang w:val="en-US" w:eastAsia="zh-CN" w:bidi="ar"/>
        </w:rPr>
        <w:t>2023年，</w:t>
      </w:r>
      <w:r>
        <w:rPr>
          <w:rFonts w:hint="eastAsia" w:ascii="Times New Roman" w:hAnsi="Times New Roman" w:cs="仿宋_GB2312"/>
          <w:kern w:val="2"/>
          <w:sz w:val="32"/>
          <w:szCs w:val="24"/>
          <w:lang w:val="en-US" w:eastAsia="zh-CN" w:bidi="ar"/>
        </w:rPr>
        <w:t>红十字“救”在身边</w:t>
      </w:r>
      <w:r>
        <w:rPr>
          <w:rFonts w:hint="eastAsia" w:ascii="Times New Roman" w:hAnsi="Times New Roman" w:eastAsia="仿宋_GB2312" w:cs="仿宋_GB2312"/>
          <w:kern w:val="2"/>
          <w:sz w:val="32"/>
          <w:szCs w:val="24"/>
          <w:lang w:val="en-US" w:eastAsia="zh-CN" w:bidi="ar"/>
        </w:rPr>
        <w:t>项目</w:t>
      </w:r>
      <w:r>
        <w:rPr>
          <w:rFonts w:hint="eastAsia" w:ascii="Times New Roman" w:hAnsi="Times New Roman" w:cs="仿宋_GB2312"/>
          <w:kern w:val="2"/>
          <w:sz w:val="32"/>
          <w:szCs w:val="24"/>
          <w:lang w:val="en-US" w:eastAsia="zh-CN" w:bidi="ar"/>
        </w:rPr>
        <w:t>严格按照市红十字会工作要点有序推进，活动开展及时到位，阶段性任务均在规定时点顺利完成，年度目标任务总体完成情况较好。</w:t>
      </w:r>
    </w:p>
    <w:p w14:paraId="0E8F5C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sz w:val="32"/>
          <w:lang w:val="zh-CN" w:eastAsia="zh-CN"/>
        </w:rPr>
      </w:pPr>
      <w:r>
        <w:rPr>
          <w:rFonts w:hint="default" w:ascii="Times New Roman" w:hAnsi="Times New Roman" w:eastAsia="黑体" w:cs="Times New Roman"/>
          <w:kern w:val="2"/>
          <w:sz w:val="32"/>
          <w:szCs w:val="24"/>
          <w:lang w:val="en-US" w:eastAsia="zh-CN" w:bidi="ar"/>
        </w:rPr>
        <w:t>三、项目绩效情况</w:t>
      </w:r>
      <w:r>
        <w:rPr>
          <w:rFonts w:hint="default" w:ascii="Times New Roman" w:hAnsi="Times New Roman" w:eastAsia="仿宋_GB2312" w:cs="Times New Roman"/>
          <w:kern w:val="2"/>
          <w:sz w:val="32"/>
          <w:szCs w:val="24"/>
          <w:lang w:val="zh-CN" w:eastAsia="zh-CN" w:bidi="ar"/>
        </w:rPr>
        <w:tab/>
      </w:r>
    </w:p>
    <w:p w14:paraId="7EB6587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bCs w:val="0"/>
          <w:sz w:val="32"/>
          <w:lang w:val="en-US" w:eastAsia="zh-CN"/>
        </w:rPr>
      </w:pPr>
      <w:r>
        <w:rPr>
          <w:rFonts w:hint="default" w:ascii="Times New Roman" w:hAnsi="Times New Roman" w:eastAsia="楷体_GB2312" w:cs="Times New Roman"/>
          <w:b w:val="0"/>
          <w:bCs/>
          <w:kern w:val="2"/>
          <w:sz w:val="32"/>
          <w:szCs w:val="24"/>
          <w:lang w:val="zh-CN" w:eastAsia="zh-CN" w:bidi="ar"/>
        </w:rPr>
        <w:t>（一）项目完成情况。</w:t>
      </w:r>
      <w:r>
        <w:rPr>
          <w:rFonts w:hint="eastAsia" w:ascii="Times New Roman" w:hAnsi="Times New Roman" w:cs="Times New Roman"/>
          <w:kern w:val="2"/>
          <w:sz w:val="32"/>
          <w:szCs w:val="24"/>
          <w:lang w:val="en-US" w:eastAsia="zh-CN" w:bidi="ar"/>
        </w:rPr>
        <w:t>年度预算执行率100%，完成急救知识普及培训人数达4.24万人次，开展志愿服务活动100余场次，采集造血干细胞血样188份。</w:t>
      </w:r>
    </w:p>
    <w:p w14:paraId="5BB2031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bCs w:val="0"/>
          <w:sz w:val="32"/>
          <w:lang w:val="en-US" w:eastAsia="zh-CN"/>
        </w:rPr>
      </w:pPr>
      <w:r>
        <w:rPr>
          <w:rFonts w:hint="default" w:ascii="Times New Roman" w:hAnsi="Times New Roman" w:eastAsia="楷体_GB2312" w:cs="Times New Roman"/>
          <w:b w:val="0"/>
          <w:bCs/>
          <w:kern w:val="2"/>
          <w:sz w:val="32"/>
          <w:szCs w:val="24"/>
          <w:lang w:val="zh-CN" w:eastAsia="zh-CN" w:bidi="ar"/>
        </w:rPr>
        <w:t>（二）项目效益情况。</w:t>
      </w:r>
      <w:r>
        <w:rPr>
          <w:rFonts w:hint="eastAsia" w:ascii="Times New Roman" w:hAnsi="Times New Roman" w:cs="Times New Roman"/>
          <w:kern w:val="2"/>
          <w:sz w:val="32"/>
          <w:szCs w:val="24"/>
          <w:lang w:val="en-US" w:eastAsia="zh-CN" w:bidi="ar"/>
        </w:rPr>
        <w:t>该项目的实施进一步增强了群众自救互救意识，进一步扩大了红十字应急救护社会影响力，群众对红十字工作满意度不断提升。</w:t>
      </w:r>
    </w:p>
    <w:p w14:paraId="7D7566D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黑体" w:cs="Times New Roman"/>
          <w:sz w:val="32"/>
          <w:lang w:val="en-US"/>
        </w:rPr>
      </w:pPr>
      <w:r>
        <w:rPr>
          <w:rFonts w:hint="default" w:ascii="Times New Roman" w:hAnsi="Times New Roman" w:eastAsia="黑体" w:cs="Times New Roman"/>
          <w:kern w:val="2"/>
          <w:sz w:val="32"/>
          <w:szCs w:val="24"/>
          <w:lang w:val="en-US" w:eastAsia="zh-CN" w:bidi="ar"/>
        </w:rPr>
        <w:t>四、问题及建议</w:t>
      </w:r>
    </w:p>
    <w:p w14:paraId="22DE9D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楷体_GB2312" w:cs="Times New Roman"/>
          <w:b w:val="0"/>
          <w:bCs/>
          <w:sz w:val="32"/>
          <w:lang w:val="en-US" w:eastAsia="zh-CN"/>
        </w:rPr>
      </w:pPr>
      <w:r>
        <w:rPr>
          <w:rFonts w:hint="default" w:ascii="Times New Roman" w:hAnsi="Times New Roman" w:eastAsia="楷体_GB2312" w:cs="Times New Roman"/>
          <w:b w:val="0"/>
          <w:bCs/>
          <w:kern w:val="2"/>
          <w:sz w:val="32"/>
          <w:szCs w:val="24"/>
          <w:lang w:val="zh-CN" w:eastAsia="zh-CN" w:bidi="ar"/>
        </w:rPr>
        <w:t>（一）存在的问题。</w:t>
      </w:r>
      <w:r>
        <w:rPr>
          <w:rFonts w:hint="eastAsia" w:ascii="Times New Roman" w:hAnsi="Times New Roman" w:cs="Times New Roman"/>
          <w:kern w:val="2"/>
          <w:sz w:val="32"/>
          <w:szCs w:val="24"/>
          <w:lang w:val="en-US" w:eastAsia="zh-CN" w:bidi="ar"/>
        </w:rPr>
        <w:t>无。</w:t>
      </w:r>
    </w:p>
    <w:p w14:paraId="05B01B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40" w:lineRule="exact"/>
        <w:ind w:left="0" w:right="0" w:firstLine="720"/>
        <w:jc w:val="both"/>
        <w:textAlignment w:val="auto"/>
        <w:rPr>
          <w:rFonts w:hint="default" w:ascii="Times New Roman" w:hAnsi="Times New Roman" w:eastAsia="仿宋_GB2312" w:cs="Times New Roman"/>
          <w:kern w:val="2"/>
          <w:sz w:val="32"/>
          <w:szCs w:val="24"/>
          <w:lang w:val="zh-CN" w:eastAsia="zh-CN" w:bidi="ar"/>
        </w:rPr>
      </w:pPr>
      <w:r>
        <w:rPr>
          <w:rFonts w:hint="default" w:ascii="Times New Roman" w:hAnsi="Times New Roman" w:eastAsia="楷体_GB2312" w:cs="Times New Roman"/>
          <w:b w:val="0"/>
          <w:bCs/>
          <w:kern w:val="2"/>
          <w:sz w:val="32"/>
          <w:szCs w:val="24"/>
          <w:lang w:val="zh-CN" w:eastAsia="zh-CN" w:bidi="ar"/>
        </w:rPr>
        <w:t>（二）相关建议。</w:t>
      </w:r>
      <w:r>
        <w:rPr>
          <w:rFonts w:hint="eastAsia" w:ascii="Times New Roman" w:hAnsi="Times New Roman" w:cs="Times New Roman"/>
          <w:kern w:val="2"/>
          <w:sz w:val="32"/>
          <w:szCs w:val="24"/>
          <w:lang w:val="en-US" w:eastAsia="zh-CN" w:bidi="ar"/>
        </w:rPr>
        <w:t>无</w:t>
      </w:r>
      <w:r>
        <w:rPr>
          <w:rFonts w:hint="default" w:ascii="Times New Roman" w:hAnsi="Times New Roman" w:eastAsia="仿宋_GB2312" w:cs="Times New Roman"/>
          <w:kern w:val="2"/>
          <w:sz w:val="32"/>
          <w:szCs w:val="24"/>
          <w:lang w:val="zh-CN" w:eastAsia="zh-CN" w:bidi="ar"/>
        </w:rPr>
        <w:t>。</w:t>
      </w:r>
    </w:p>
    <w:p w14:paraId="3891F13D">
      <w:pPr>
        <w:pStyle w:val="2"/>
        <w:rPr>
          <w:rFonts w:hint="default"/>
          <w:lang w:val="en-US"/>
        </w:rPr>
      </w:pPr>
    </w:p>
    <w:p w14:paraId="1BE1EAD7">
      <w:pPr>
        <w:pStyle w:val="4"/>
        <w:rPr>
          <w:rFonts w:hint="default"/>
          <w:lang w:val="en-US"/>
        </w:rPr>
      </w:pPr>
    </w:p>
    <w:p w14:paraId="7028A80C">
      <w:pPr>
        <w:rPr>
          <w:rFonts w:hint="default"/>
          <w:lang w:val="en-US"/>
        </w:rPr>
      </w:pPr>
    </w:p>
    <w:p w14:paraId="46BAD98F">
      <w:pPr>
        <w:keepNext w:val="0"/>
        <w:keepLines w:val="0"/>
        <w:widowControl w:val="0"/>
        <w:suppressLineNumbers w:val="0"/>
        <w:spacing w:before="0" w:beforeAutospacing="0" w:after="0" w:afterAutospacing="0" w:line="580" w:lineRule="exact"/>
        <w:ind w:left="0" w:right="0"/>
        <w:jc w:val="both"/>
        <w:outlineLvl w:val="9"/>
        <w:rPr>
          <w:rFonts w:hint="default"/>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3</w:t>
      </w:r>
    </w:p>
    <w:tbl>
      <w:tblPr>
        <w:tblStyle w:val="13"/>
        <w:tblW w:w="98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79"/>
        <w:gridCol w:w="1121"/>
        <w:gridCol w:w="1419"/>
        <w:gridCol w:w="396"/>
        <w:gridCol w:w="1081"/>
        <w:gridCol w:w="396"/>
        <w:gridCol w:w="846"/>
        <w:gridCol w:w="486"/>
        <w:gridCol w:w="486"/>
        <w:gridCol w:w="1791"/>
      </w:tblGrid>
      <w:tr w14:paraId="257B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6" w:hRule="atLeast"/>
        </w:trPr>
        <w:tc>
          <w:tcPr>
            <w:tcW w:w="4729" w:type="dxa"/>
            <w:gridSpan w:val="4"/>
            <w:tcBorders>
              <w:top w:val="nil"/>
              <w:left w:val="nil"/>
              <w:bottom w:val="nil"/>
              <w:right w:val="nil"/>
            </w:tcBorders>
            <w:shd w:val="clear" w:color="auto" w:fill="auto"/>
            <w:vAlign w:val="center"/>
          </w:tcPr>
          <w:p w14:paraId="49805C24">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58" w:name="_Toc31444"/>
            <w:bookmarkStart w:id="59" w:name="_Toc15396618"/>
            <w:r>
              <w:rPr>
                <w:rFonts w:ascii="宋体" w:hAnsi="宋体" w:eastAsia="宋体" w:cs="宋体"/>
                <w:i w:val="0"/>
                <w:iCs w:val="0"/>
                <w:color w:val="C0C0C0"/>
                <w:kern w:val="0"/>
                <w:sz w:val="20"/>
                <w:szCs w:val="20"/>
                <w:u w:val="none"/>
                <w:lang w:val="en-US" w:eastAsia="zh-CN" w:bidi="ar"/>
              </w:rPr>
              <w:t>报表编号：510000_0013zp</w:t>
            </w:r>
          </w:p>
        </w:tc>
        <w:tc>
          <w:tcPr>
            <w:tcW w:w="365" w:type="dxa"/>
            <w:tcBorders>
              <w:top w:val="nil"/>
              <w:left w:val="nil"/>
              <w:bottom w:val="nil"/>
              <w:right w:val="nil"/>
            </w:tcBorders>
            <w:shd w:val="clear" w:color="auto" w:fill="auto"/>
            <w:noWrap/>
            <w:vAlign w:val="center"/>
          </w:tcPr>
          <w:p w14:paraId="665BEAAC">
            <w:pPr>
              <w:rPr>
                <w:rFonts w:hint="eastAsia" w:ascii="宋体" w:hAnsi="宋体" w:eastAsia="宋体" w:cs="宋体"/>
                <w:i w:val="0"/>
                <w:iCs w:val="0"/>
                <w:color w:val="000000"/>
                <w:sz w:val="22"/>
                <w:szCs w:val="22"/>
                <w:u w:val="none"/>
              </w:rPr>
            </w:pPr>
          </w:p>
        </w:tc>
        <w:tc>
          <w:tcPr>
            <w:tcW w:w="2299" w:type="dxa"/>
            <w:gridSpan w:val="3"/>
            <w:tcBorders>
              <w:top w:val="nil"/>
              <w:left w:val="nil"/>
              <w:bottom w:val="nil"/>
              <w:right w:val="nil"/>
            </w:tcBorders>
            <w:shd w:val="clear" w:color="auto" w:fill="auto"/>
            <w:vAlign w:val="center"/>
          </w:tcPr>
          <w:p w14:paraId="1B89FD83">
            <w:pPr>
              <w:rPr>
                <w:rFonts w:hint="eastAsia" w:ascii="宋体" w:hAnsi="宋体" w:eastAsia="宋体" w:cs="宋体"/>
                <w:i w:val="0"/>
                <w:iCs w:val="0"/>
                <w:color w:val="000000"/>
                <w:sz w:val="20"/>
                <w:szCs w:val="20"/>
                <w:u w:val="none"/>
              </w:rPr>
            </w:pPr>
          </w:p>
        </w:tc>
        <w:tc>
          <w:tcPr>
            <w:tcW w:w="353" w:type="dxa"/>
            <w:tcBorders>
              <w:top w:val="nil"/>
              <w:left w:val="nil"/>
              <w:bottom w:val="nil"/>
              <w:right w:val="nil"/>
            </w:tcBorders>
            <w:shd w:val="clear" w:color="auto" w:fill="auto"/>
            <w:noWrap/>
            <w:vAlign w:val="center"/>
          </w:tcPr>
          <w:p w14:paraId="7363666A">
            <w:pPr>
              <w:rPr>
                <w:rFonts w:hint="eastAsia" w:ascii="宋体" w:hAnsi="宋体" w:eastAsia="宋体" w:cs="宋体"/>
                <w:i w:val="0"/>
                <w:iCs w:val="0"/>
                <w:color w:val="000000"/>
                <w:sz w:val="22"/>
                <w:szCs w:val="22"/>
                <w:u w:val="none"/>
              </w:rPr>
            </w:pPr>
          </w:p>
        </w:tc>
        <w:tc>
          <w:tcPr>
            <w:tcW w:w="340" w:type="dxa"/>
            <w:tcBorders>
              <w:top w:val="nil"/>
              <w:left w:val="nil"/>
              <w:bottom w:val="nil"/>
              <w:right w:val="nil"/>
            </w:tcBorders>
            <w:shd w:val="clear" w:color="auto" w:fill="auto"/>
            <w:noWrap/>
            <w:vAlign w:val="center"/>
          </w:tcPr>
          <w:p w14:paraId="1C372210">
            <w:pPr>
              <w:rPr>
                <w:rFonts w:hint="eastAsia" w:ascii="宋体" w:hAnsi="宋体" w:eastAsia="宋体" w:cs="宋体"/>
                <w:i w:val="0"/>
                <w:iCs w:val="0"/>
                <w:color w:val="000000"/>
                <w:sz w:val="22"/>
                <w:szCs w:val="22"/>
                <w:u w:val="none"/>
              </w:rPr>
            </w:pPr>
          </w:p>
        </w:tc>
        <w:tc>
          <w:tcPr>
            <w:tcW w:w="1791" w:type="dxa"/>
            <w:tcBorders>
              <w:top w:val="nil"/>
              <w:left w:val="nil"/>
              <w:bottom w:val="nil"/>
              <w:right w:val="nil"/>
            </w:tcBorders>
            <w:shd w:val="clear" w:color="auto" w:fill="auto"/>
            <w:noWrap/>
            <w:vAlign w:val="center"/>
          </w:tcPr>
          <w:p w14:paraId="7D592438">
            <w:pPr>
              <w:rPr>
                <w:rFonts w:hint="eastAsia" w:ascii="宋体" w:hAnsi="宋体" w:eastAsia="宋体" w:cs="宋体"/>
                <w:i w:val="0"/>
                <w:iCs w:val="0"/>
                <w:color w:val="000000"/>
                <w:sz w:val="22"/>
                <w:szCs w:val="22"/>
                <w:u w:val="none"/>
              </w:rPr>
            </w:pPr>
          </w:p>
        </w:tc>
      </w:tr>
      <w:tr w14:paraId="41F8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98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C0A40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A4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2C1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16EC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51030022T000000393419-红十字“救”在身边项目</w:t>
            </w:r>
          </w:p>
        </w:tc>
      </w:tr>
      <w:tr w14:paraId="70747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517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925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自贡市红十字会部门</w:t>
            </w:r>
          </w:p>
        </w:tc>
        <w:tc>
          <w:tcPr>
            <w:tcW w:w="764" w:type="dxa"/>
            <w:tcBorders>
              <w:top w:val="nil"/>
              <w:left w:val="nil"/>
              <w:bottom w:val="nil"/>
              <w:right w:val="nil"/>
            </w:tcBorders>
            <w:shd w:val="clear" w:color="auto" w:fill="auto"/>
            <w:vAlign w:val="center"/>
          </w:tcPr>
          <w:p w14:paraId="5F5C651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4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5B7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09D9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BB6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0B5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091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8250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2EC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3"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1403">
            <w:pPr>
              <w:rPr>
                <w:rFonts w:hint="eastAsia" w:ascii="宋体" w:hAnsi="宋体" w:eastAsia="宋体" w:cs="宋体"/>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56A02">
            <w:pPr>
              <w:rPr>
                <w:rFonts w:hint="eastAsia" w:ascii="宋体" w:hAnsi="宋体" w:eastAsia="宋体" w:cs="宋体"/>
                <w:i w:val="0"/>
                <w:iCs w:val="0"/>
                <w:color w:val="000000"/>
                <w:sz w:val="18"/>
                <w:szCs w:val="18"/>
                <w:u w:val="none"/>
              </w:rPr>
            </w:pPr>
          </w:p>
        </w:tc>
        <w:tc>
          <w:tcPr>
            <w:tcW w:w="47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D6B3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开展“救在身边”救护培训行动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开展“救在身边”生命关爱行动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开展“救在身边”应急救援体系建设</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开展“救在身边”健康促进行动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开展“救在身边”人道救助行动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开展“救在身边”志愿服务行动</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开展红十字青少年文化传播行动。</w:t>
            </w:r>
          </w:p>
        </w:tc>
        <w:tc>
          <w:tcPr>
            <w:tcW w:w="3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C635E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红十字“救”在身边项目财政拨款20万元，全额用于保障红十字会顺利开展“救在身边”救护培训行动、“救在身边”生命关爱行动、“救在身边”应急救援体系建设、“救在身边”健康促进行动、“救在身边”人道救助行动等。项目经费严格按规定科学列支，有效保障了各项救助活动的顺利开展，有力促进红十字会进一步发挥人道救援作用。</w:t>
            </w:r>
          </w:p>
        </w:tc>
      </w:tr>
      <w:tr w14:paraId="2384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7229B">
            <w:pP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FA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9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67E4A8">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按照年初工作要点和计划安排，有条不紊组织开展“救在身边”救护培训，生命关爱，人道救助等系列活动。</w:t>
            </w:r>
          </w:p>
        </w:tc>
      </w:tr>
      <w:tr w14:paraId="01387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56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22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1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36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87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2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F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2F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70D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6983">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F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F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3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6F7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E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5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B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D60AE">
            <w:pPr>
              <w:rPr>
                <w:rFonts w:hint="eastAsia" w:ascii="黑体" w:hAnsi="黑体" w:eastAsia="黑体" w:cs="黑体"/>
                <w:i/>
                <w:iCs/>
                <w:color w:val="000000"/>
                <w:sz w:val="18"/>
                <w:szCs w:val="18"/>
                <w:u w:val="none"/>
              </w:rPr>
            </w:pPr>
          </w:p>
        </w:tc>
      </w:tr>
      <w:tr w14:paraId="1C02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CBD9">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4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D1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67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4CF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F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1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8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D087F">
            <w:pPr>
              <w:rPr>
                <w:rFonts w:hint="eastAsia" w:ascii="黑体" w:hAnsi="黑体" w:eastAsia="黑体" w:cs="黑体"/>
                <w:i/>
                <w:iCs/>
                <w:color w:val="000000"/>
                <w:sz w:val="18"/>
                <w:szCs w:val="18"/>
                <w:u w:val="none"/>
              </w:rPr>
            </w:pPr>
          </w:p>
        </w:tc>
      </w:tr>
      <w:tr w14:paraId="0B6B5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02D12">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0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D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F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F6B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D1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33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67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6AF6B">
            <w:pPr>
              <w:rPr>
                <w:rFonts w:hint="eastAsia" w:ascii="黑体" w:hAnsi="黑体" w:eastAsia="黑体" w:cs="黑体"/>
                <w:i/>
                <w:iCs/>
                <w:color w:val="000000"/>
                <w:sz w:val="18"/>
                <w:szCs w:val="18"/>
                <w:u w:val="none"/>
              </w:rPr>
            </w:pPr>
          </w:p>
        </w:tc>
      </w:tr>
      <w:tr w14:paraId="3388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6BBC4">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C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17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95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51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A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76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5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B75DF">
            <w:pPr>
              <w:rPr>
                <w:rFonts w:hint="eastAsia" w:ascii="黑体" w:hAnsi="黑体" w:eastAsia="黑体" w:cs="黑体"/>
                <w:i/>
                <w:iCs/>
                <w:color w:val="000000"/>
                <w:sz w:val="18"/>
                <w:szCs w:val="18"/>
                <w:u w:val="none"/>
              </w:rPr>
            </w:pPr>
          </w:p>
        </w:tc>
      </w:tr>
      <w:tr w14:paraId="23C3F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00206">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67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B170">
            <w:pPr>
              <w:jc w:val="center"/>
              <w:rPr>
                <w:rFonts w:hint="eastAsia" w:ascii="微软雅黑" w:hAnsi="微软雅黑" w:eastAsia="微软雅黑" w:cs="微软雅黑"/>
                <w:i/>
                <w:iCs/>
                <w:color w:val="000000"/>
                <w:sz w:val="16"/>
                <w:szCs w:val="16"/>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7CD1E">
            <w:pPr>
              <w:jc w:val="center"/>
              <w:rPr>
                <w:rFonts w:hint="eastAsia" w:ascii="微软雅黑" w:hAnsi="微软雅黑" w:eastAsia="微软雅黑" w:cs="微软雅黑"/>
                <w:i/>
                <w:iCs/>
                <w:color w:val="000000"/>
                <w:sz w:val="16"/>
                <w:szCs w:val="16"/>
                <w:u w:val="none"/>
              </w:rPr>
            </w:pPr>
          </w:p>
        </w:tc>
        <w:tc>
          <w:tcPr>
            <w:tcW w:w="1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17630B">
            <w:pPr>
              <w:jc w:val="center"/>
              <w:rPr>
                <w:rFonts w:hint="eastAsia" w:ascii="微软雅黑" w:hAnsi="微软雅黑" w:eastAsia="微软雅黑" w:cs="微软雅黑"/>
                <w:i/>
                <w:iCs/>
                <w:color w:val="000000"/>
                <w:sz w:val="16"/>
                <w:szCs w:val="16"/>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04BA">
            <w:pPr>
              <w:jc w:val="center"/>
              <w:rPr>
                <w:rFonts w:hint="eastAsia" w:ascii="微软雅黑" w:hAnsi="微软雅黑" w:eastAsia="微软雅黑" w:cs="微软雅黑"/>
                <w:i/>
                <w:iCs/>
                <w:color w:val="000000"/>
                <w:sz w:val="16"/>
                <w:szCs w:val="16"/>
                <w:u w:val="none"/>
              </w:rPr>
            </w:pP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6D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92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E14EB">
            <w:pPr>
              <w:rPr>
                <w:rFonts w:hint="eastAsia" w:ascii="黑体" w:hAnsi="黑体" w:eastAsia="黑体" w:cs="黑体"/>
                <w:i/>
                <w:iCs/>
                <w:color w:val="000000"/>
                <w:sz w:val="18"/>
                <w:szCs w:val="18"/>
                <w:u w:val="none"/>
              </w:rPr>
            </w:pPr>
          </w:p>
        </w:tc>
      </w:tr>
      <w:tr w14:paraId="1186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E4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4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9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6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9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D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0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2D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5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CD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C20A">
            <w:pPr>
              <w:jc w:val="center"/>
              <w:rPr>
                <w:rFonts w:hint="eastAsia" w:ascii="宋体" w:hAnsi="宋体" w:eastAsia="宋体" w:cs="宋体"/>
                <w:i w:val="0"/>
                <w:iCs w:val="0"/>
                <w:color w:val="000000"/>
                <w:sz w:val="18"/>
                <w:szCs w:val="18"/>
                <w:u w:val="none"/>
              </w:rPr>
            </w:pPr>
          </w:p>
        </w:tc>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8D3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850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6D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开展急救知识普及培训人数</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14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46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20000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5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782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42400</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7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F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B88C">
            <w:pPr>
              <w:jc w:val="center"/>
              <w:rPr>
                <w:rFonts w:hint="eastAsia" w:ascii="微软雅黑" w:hAnsi="微软雅黑" w:eastAsia="微软雅黑" w:cs="微软雅黑"/>
                <w:i/>
                <w:iCs/>
                <w:color w:val="000000"/>
                <w:sz w:val="16"/>
                <w:szCs w:val="16"/>
                <w:u w:val="none"/>
              </w:rPr>
            </w:pPr>
          </w:p>
        </w:tc>
      </w:tr>
      <w:tr w14:paraId="0B27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F22AB">
            <w:pPr>
              <w:jc w:val="center"/>
              <w:rPr>
                <w:rFonts w:hint="eastAsia" w:ascii="宋体" w:hAnsi="宋体" w:eastAsia="宋体" w:cs="宋体"/>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1CBA8">
            <w:pPr>
              <w:jc w:val="center"/>
              <w:rPr>
                <w:rFonts w:hint="eastAsia" w:ascii="宋体" w:hAnsi="宋体" w:eastAsia="宋体" w:cs="宋体"/>
                <w:i w:val="0"/>
                <w:iCs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63F0C">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19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全年开展志愿服务活动</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3DF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28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场次</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97B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10</w:t>
            </w:r>
            <w:r>
              <w:rPr>
                <w:rFonts w:hint="eastAsia" w:ascii="宋体" w:hAnsi="宋体" w:eastAsia="宋体" w:cs="宋体"/>
                <w:i w:val="0"/>
                <w:iCs w:val="0"/>
                <w:color w:val="000000"/>
                <w:kern w:val="0"/>
                <w:sz w:val="18"/>
                <w:szCs w:val="18"/>
                <w:u w:val="none"/>
                <w:lang w:val="en-US" w:eastAsia="zh-CN" w:bidi="ar"/>
              </w:rPr>
              <w:t>3</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5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9B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3150">
            <w:pPr>
              <w:jc w:val="center"/>
              <w:rPr>
                <w:rFonts w:hint="eastAsia" w:ascii="微软雅黑" w:hAnsi="微软雅黑" w:eastAsia="微软雅黑" w:cs="微软雅黑"/>
                <w:i/>
                <w:iCs/>
                <w:color w:val="000000"/>
                <w:sz w:val="16"/>
                <w:szCs w:val="16"/>
                <w:u w:val="none"/>
              </w:rPr>
            </w:pPr>
          </w:p>
        </w:tc>
      </w:tr>
      <w:tr w14:paraId="308D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47E41">
            <w:pPr>
              <w:jc w:val="center"/>
              <w:rPr>
                <w:rFonts w:hint="eastAsia" w:ascii="宋体" w:hAnsi="宋体" w:eastAsia="宋体" w:cs="宋体"/>
                <w:i w:val="0"/>
                <w:iCs w:val="0"/>
                <w:color w:val="000000"/>
                <w:sz w:val="18"/>
                <w:szCs w:val="18"/>
                <w:u w:val="none"/>
              </w:rPr>
            </w:pPr>
          </w:p>
        </w:tc>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3A43">
            <w:pPr>
              <w:jc w:val="center"/>
              <w:rPr>
                <w:rFonts w:hint="eastAsia" w:ascii="宋体" w:hAnsi="宋体" w:eastAsia="宋体" w:cs="宋体"/>
                <w:i w:val="0"/>
                <w:iCs w:val="0"/>
                <w:color w:val="000000"/>
                <w:sz w:val="18"/>
                <w:szCs w:val="18"/>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5754">
            <w:pPr>
              <w:jc w:val="center"/>
              <w:rPr>
                <w:rFonts w:hint="eastAsia" w:ascii="宋体" w:hAnsi="宋体" w:eastAsia="宋体" w:cs="宋体"/>
                <w:i w:val="0"/>
                <w:iCs w:val="0"/>
                <w:color w:val="000000"/>
                <w:sz w:val="18"/>
                <w:szCs w:val="18"/>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1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采集造血干细胞血样</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A10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70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A09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88</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8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8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B75C">
            <w:pPr>
              <w:jc w:val="center"/>
              <w:rPr>
                <w:rFonts w:hint="eastAsia" w:ascii="微软雅黑" w:hAnsi="微软雅黑" w:eastAsia="微软雅黑" w:cs="微软雅黑"/>
                <w:i/>
                <w:iCs/>
                <w:color w:val="000000"/>
                <w:sz w:val="16"/>
                <w:szCs w:val="16"/>
                <w:u w:val="none"/>
              </w:rPr>
            </w:pPr>
          </w:p>
        </w:tc>
      </w:tr>
      <w:tr w14:paraId="2CBD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85E8B">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AE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79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9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提升公众自救互救意识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A1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1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91438">
            <w:pPr>
              <w:jc w:val="center"/>
              <w:rPr>
                <w:rFonts w:hint="eastAsia" w:ascii="宋体" w:hAnsi="宋体" w:eastAsia="宋体" w:cs="宋体"/>
                <w:i w:val="0"/>
                <w:iCs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C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06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E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2C06">
            <w:pPr>
              <w:jc w:val="center"/>
              <w:rPr>
                <w:rFonts w:hint="eastAsia" w:ascii="微软雅黑" w:hAnsi="微软雅黑" w:eastAsia="微软雅黑" w:cs="微软雅黑"/>
                <w:i/>
                <w:iCs/>
                <w:color w:val="000000"/>
                <w:sz w:val="16"/>
                <w:szCs w:val="16"/>
                <w:u w:val="none"/>
              </w:rPr>
            </w:pPr>
          </w:p>
        </w:tc>
      </w:tr>
      <w:tr w14:paraId="177A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AC6A">
            <w:pPr>
              <w:jc w:val="center"/>
              <w:rPr>
                <w:rFonts w:hint="eastAsia" w:ascii="宋体" w:hAnsi="宋体" w:eastAsia="宋体" w:cs="宋体"/>
                <w:i w:val="0"/>
                <w:iCs w:val="0"/>
                <w:color w:val="000000"/>
                <w:sz w:val="18"/>
                <w:szCs w:val="18"/>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C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6B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7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服务救助对象对红十字会工作满意度</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F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49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2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D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96.2</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6F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1CC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8B3D">
            <w:pPr>
              <w:jc w:val="center"/>
              <w:rPr>
                <w:rFonts w:hint="eastAsia" w:ascii="微软雅黑" w:hAnsi="微软雅黑" w:eastAsia="微软雅黑" w:cs="微软雅黑"/>
                <w:i/>
                <w:iCs/>
                <w:color w:val="000000"/>
                <w:sz w:val="16"/>
                <w:szCs w:val="16"/>
                <w:u w:val="none"/>
              </w:rPr>
            </w:pPr>
          </w:p>
        </w:tc>
      </w:tr>
      <w:tr w14:paraId="1E0D7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73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EDFA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8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F5A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6EE8F">
            <w:pPr>
              <w:rPr>
                <w:rFonts w:hint="eastAsia" w:ascii="宋体" w:hAnsi="宋体" w:eastAsia="宋体" w:cs="宋体"/>
                <w:i w:val="0"/>
                <w:iCs w:val="0"/>
                <w:color w:val="000000"/>
                <w:sz w:val="18"/>
                <w:szCs w:val="18"/>
                <w:u w:val="none"/>
              </w:rPr>
            </w:pPr>
          </w:p>
        </w:tc>
      </w:tr>
      <w:tr w14:paraId="5F93E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3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8295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项目绩效目标设置合理，预算执行中严格按照既定工作计划，分步实施，实现资金支付，确保各项活动顺利开展，项目绩效目标完成情况良好。</w:t>
            </w:r>
          </w:p>
        </w:tc>
      </w:tr>
      <w:tr w14:paraId="0FEA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08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9FAEFB">
            <w:pPr>
              <w:rPr>
                <w:rFonts w:hint="eastAsia" w:ascii="微软雅黑" w:hAnsi="微软雅黑" w:eastAsia="微软雅黑" w:cs="微软雅黑"/>
                <w:i/>
                <w:iCs/>
                <w:color w:val="000000"/>
                <w:sz w:val="16"/>
                <w:szCs w:val="16"/>
                <w:u w:val="none"/>
              </w:rPr>
            </w:pPr>
          </w:p>
        </w:tc>
      </w:tr>
      <w:tr w14:paraId="4A9F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BB5677">
            <w:pPr>
              <w:rPr>
                <w:rFonts w:hint="eastAsia" w:ascii="微软雅黑" w:hAnsi="微软雅黑" w:eastAsia="微软雅黑" w:cs="微软雅黑"/>
                <w:i/>
                <w:iCs/>
                <w:color w:val="000000"/>
                <w:sz w:val="16"/>
                <w:szCs w:val="16"/>
                <w:u w:val="none"/>
              </w:rPr>
            </w:pPr>
          </w:p>
        </w:tc>
      </w:tr>
      <w:tr w14:paraId="7B56C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5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1E838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7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2FD3F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bl>
    <w:p w14:paraId="1D5A0806">
      <w:pPr>
        <w:spacing w:line="600" w:lineRule="exact"/>
        <w:jc w:val="center"/>
        <w:outlineLvl w:val="0"/>
        <w:rPr>
          <w:rFonts w:hint="eastAsia" w:ascii="黑体" w:hAnsi="黑体" w:eastAsia="黑体"/>
          <w:color w:val="000000"/>
          <w:sz w:val="44"/>
          <w:szCs w:val="44"/>
        </w:rPr>
      </w:pPr>
    </w:p>
    <w:tbl>
      <w:tblPr>
        <w:tblStyle w:val="13"/>
        <w:tblW w:w="10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62"/>
        <w:gridCol w:w="1186"/>
        <w:gridCol w:w="1496"/>
        <w:gridCol w:w="396"/>
        <w:gridCol w:w="1124"/>
        <w:gridCol w:w="396"/>
        <w:gridCol w:w="846"/>
        <w:gridCol w:w="486"/>
        <w:gridCol w:w="486"/>
        <w:gridCol w:w="1666"/>
      </w:tblGrid>
      <w:tr w14:paraId="5F614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4E9D84">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5BC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E48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AAECA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51030022Y000000362601-红十字“三救”“三献”服务</w:t>
            </w:r>
          </w:p>
        </w:tc>
      </w:tr>
      <w:tr w14:paraId="186B1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EDE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417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自贡市红十字会部门</w:t>
            </w:r>
          </w:p>
        </w:tc>
        <w:tc>
          <w:tcPr>
            <w:tcW w:w="774" w:type="dxa"/>
            <w:tcBorders>
              <w:top w:val="nil"/>
              <w:left w:val="nil"/>
              <w:bottom w:val="nil"/>
              <w:right w:val="nil"/>
            </w:tcBorders>
            <w:shd w:val="clear" w:color="auto" w:fill="auto"/>
            <w:vAlign w:val="center"/>
          </w:tcPr>
          <w:p w14:paraId="7C13DB3C">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89B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3B6C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2F5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31B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34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9657D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FA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517A">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88E59">
            <w:pPr>
              <w:rPr>
                <w:rFonts w:hint="eastAsia" w:ascii="宋体" w:hAnsi="宋体" w:eastAsia="宋体" w:cs="宋体"/>
                <w:i w:val="0"/>
                <w:iCs w:val="0"/>
                <w:color w:val="000000"/>
                <w:sz w:val="18"/>
                <w:szCs w:val="18"/>
                <w:u w:val="none"/>
              </w:rPr>
            </w:pP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2C8C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开展生命关爱行动。举办遗体和人体器官（组织）捐献者缅怀纪念活动和“三献”宣传主题活动，致敬和感恩捐献者的人道大爱，关心关爱捐献者家人，全年开展1场以上大型公益活动，全年采集造血干细胞100份，登记遗体和器官捐献志愿者1000人，配合完成全市无偿献血任务，逐步在全市范围内形成“我为人人，人人为我”捐献崇高的良好社会氛围。</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开展应急救援体系建设。建设红十字赈济救援队，进行常规训练及应急演练，购买应急装备和救灾物资，加强救灾救援指挥车的日常维护。确保在自然灾害、事故灾难、公共卫生事件等突发事件中，对伤病人员和其他受害者提供紧急救援和人道救助。</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（三）开展健康促进行动。在社区等基层红十字会开展健康促进项目，通过健康宣传、服务困难群众、参与排查管控、传播人道文化，助力常态化疫情防控。</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四）开展人道救助行动。持续实施对0—14周岁白血病、先心病贫困患儿进行专项救助，努力做到应救尽救；参与腾讯“99公益”、开展“博爱送万家”等活动，动员汇聚社会爱心力量，积极进行助医、助学、助老、助困、助残等。</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23BA9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年度目标，成功举办2023年自贡市遗体和人体器官（组织）捐献者缅怀纪念活动1场，推动自贡市红十字赈济救援队伍建设，完成造血干细胞采集188份，开展“三献”宣传活动覆盖人群120万余人次，实施博爱送万家人道救助100余人次，新增遗体和器官捐献志愿者130余人。</w:t>
            </w:r>
          </w:p>
        </w:tc>
      </w:tr>
      <w:tr w14:paraId="135A7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1B7CE">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77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3CE8177">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按照年初工作要点和计划安排，有条不紊组织开展“三救三献”宣传活动，举办遗体和人体器官（组织）捐献者缅怀纪念活动，无偿献血和造血干细胞捐献，红十字赈济救援队建设等。</w:t>
            </w:r>
          </w:p>
        </w:tc>
      </w:tr>
      <w:tr w14:paraId="188D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16E5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3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6C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73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F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0E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FF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1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620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CB504">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A8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C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65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8F0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3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3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C214A">
            <w:pPr>
              <w:rPr>
                <w:rFonts w:hint="eastAsia" w:ascii="黑体" w:hAnsi="黑体" w:eastAsia="黑体" w:cs="黑体"/>
                <w:i/>
                <w:iCs/>
                <w:color w:val="000000"/>
                <w:sz w:val="18"/>
                <w:szCs w:val="18"/>
                <w:u w:val="none"/>
              </w:rPr>
            </w:pPr>
          </w:p>
        </w:tc>
      </w:tr>
      <w:tr w14:paraId="1511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A3E3B">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52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69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A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8F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8.09</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250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5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D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8E5B">
            <w:pPr>
              <w:rPr>
                <w:rFonts w:hint="eastAsia" w:ascii="黑体" w:hAnsi="黑体" w:eastAsia="黑体" w:cs="黑体"/>
                <w:i/>
                <w:iCs/>
                <w:color w:val="000000"/>
                <w:sz w:val="18"/>
                <w:szCs w:val="18"/>
                <w:u w:val="none"/>
              </w:rPr>
            </w:pPr>
          </w:p>
        </w:tc>
      </w:tr>
      <w:tr w14:paraId="50309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C132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A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C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1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CBF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E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F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B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6BD48">
            <w:pPr>
              <w:rPr>
                <w:rFonts w:hint="eastAsia" w:ascii="黑体" w:hAnsi="黑体" w:eastAsia="黑体" w:cs="黑体"/>
                <w:i/>
                <w:iCs/>
                <w:color w:val="000000"/>
                <w:sz w:val="18"/>
                <w:szCs w:val="18"/>
                <w:u w:val="none"/>
              </w:rPr>
            </w:pPr>
          </w:p>
        </w:tc>
      </w:tr>
      <w:tr w14:paraId="08FD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C89A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C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7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11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AE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7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3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C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461B6">
            <w:pPr>
              <w:rPr>
                <w:rFonts w:hint="eastAsia" w:ascii="黑体" w:hAnsi="黑体" w:eastAsia="黑体" w:cs="黑体"/>
                <w:i/>
                <w:iCs/>
                <w:color w:val="000000"/>
                <w:sz w:val="18"/>
                <w:szCs w:val="18"/>
                <w:u w:val="none"/>
              </w:rPr>
            </w:pPr>
          </w:p>
        </w:tc>
      </w:tr>
      <w:tr w14:paraId="1BF5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716E7">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8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15F7">
            <w:pPr>
              <w:jc w:val="center"/>
              <w:rPr>
                <w:rFonts w:hint="eastAsia" w:ascii="微软雅黑" w:hAnsi="微软雅黑" w:eastAsia="微软雅黑" w:cs="微软雅黑"/>
                <w:i/>
                <w:iCs/>
                <w:color w:val="000000"/>
                <w:sz w:val="16"/>
                <w:szCs w:val="16"/>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8D1A">
            <w:pPr>
              <w:jc w:val="center"/>
              <w:rPr>
                <w:rFonts w:hint="eastAsia" w:ascii="微软雅黑" w:hAnsi="微软雅黑" w:eastAsia="微软雅黑" w:cs="微软雅黑"/>
                <w:i/>
                <w:iCs/>
                <w:color w:val="000000"/>
                <w:sz w:val="16"/>
                <w:szCs w:val="16"/>
                <w:u w:val="none"/>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92A547">
            <w:pPr>
              <w:jc w:val="center"/>
              <w:rPr>
                <w:rFonts w:hint="eastAsia" w:ascii="微软雅黑" w:hAnsi="微软雅黑" w:eastAsia="微软雅黑" w:cs="微软雅黑"/>
                <w:i/>
                <w:iCs/>
                <w:color w:val="000000"/>
                <w:sz w:val="16"/>
                <w:szCs w:val="16"/>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80D4">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0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D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5F6E2">
            <w:pPr>
              <w:rPr>
                <w:rFonts w:hint="eastAsia" w:ascii="黑体" w:hAnsi="黑体" w:eastAsia="黑体" w:cs="黑体"/>
                <w:i/>
                <w:iCs/>
                <w:color w:val="000000"/>
                <w:sz w:val="18"/>
                <w:szCs w:val="18"/>
                <w:u w:val="none"/>
              </w:rPr>
            </w:pPr>
          </w:p>
        </w:tc>
      </w:tr>
      <w:tr w14:paraId="47CD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A4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F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A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55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03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8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F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32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3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21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273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B220">
            <w:pPr>
              <w:jc w:val="center"/>
              <w:rPr>
                <w:rFonts w:hint="eastAsia" w:ascii="宋体" w:hAnsi="宋体" w:eastAsia="宋体" w:cs="宋体"/>
                <w:i w:val="0"/>
                <w:iCs w:val="0"/>
                <w:color w:val="000000"/>
                <w:sz w:val="18"/>
                <w:szCs w:val="18"/>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3D0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C0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C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开展遗体和人体器官（组织）捐献缅怀活动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CBF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AF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D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次/年</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C8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08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C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638">
            <w:pPr>
              <w:jc w:val="center"/>
              <w:rPr>
                <w:rFonts w:hint="eastAsia" w:ascii="微软雅黑" w:hAnsi="微软雅黑" w:eastAsia="微软雅黑" w:cs="微软雅黑"/>
                <w:i/>
                <w:iCs/>
                <w:color w:val="000000"/>
                <w:sz w:val="16"/>
                <w:szCs w:val="16"/>
                <w:u w:val="none"/>
              </w:rPr>
            </w:pPr>
          </w:p>
        </w:tc>
      </w:tr>
      <w:tr w14:paraId="630F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B58F1">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564F6">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0AA0D">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7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建设红十字赈济救援队</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2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7A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C6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3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1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3E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CD81">
            <w:pPr>
              <w:jc w:val="center"/>
              <w:rPr>
                <w:rFonts w:hint="eastAsia" w:ascii="微软雅黑" w:hAnsi="微软雅黑" w:eastAsia="微软雅黑" w:cs="微软雅黑"/>
                <w:i/>
                <w:iCs/>
                <w:color w:val="000000"/>
                <w:sz w:val="16"/>
                <w:szCs w:val="16"/>
                <w:u w:val="none"/>
              </w:rPr>
            </w:pPr>
          </w:p>
        </w:tc>
      </w:tr>
      <w:tr w14:paraId="7292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27DF">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86DE8">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336F">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1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每年度采集造血干细胞</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69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F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E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份</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CF9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88</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E2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9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1E1D">
            <w:pPr>
              <w:jc w:val="center"/>
              <w:rPr>
                <w:rFonts w:hint="eastAsia" w:ascii="微软雅黑" w:hAnsi="微软雅黑" w:eastAsia="微软雅黑" w:cs="微软雅黑"/>
                <w:i/>
                <w:iCs/>
                <w:color w:val="000000"/>
                <w:sz w:val="16"/>
                <w:szCs w:val="16"/>
                <w:u w:val="none"/>
              </w:rPr>
            </w:pPr>
          </w:p>
        </w:tc>
      </w:tr>
      <w:tr w14:paraId="6CD3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067D7">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CB865">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815F6">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82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“三献”宣传工作覆盖人群</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A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A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7B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万人次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F0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E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E493">
            <w:pPr>
              <w:jc w:val="center"/>
              <w:rPr>
                <w:rFonts w:hint="eastAsia" w:ascii="微软雅黑" w:hAnsi="微软雅黑" w:eastAsia="微软雅黑" w:cs="微软雅黑"/>
                <w:i/>
                <w:iCs/>
                <w:color w:val="000000"/>
                <w:sz w:val="16"/>
                <w:szCs w:val="16"/>
                <w:u w:val="none"/>
              </w:rPr>
            </w:pPr>
          </w:p>
        </w:tc>
      </w:tr>
      <w:tr w14:paraId="2018F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DCD0">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5BFB">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46756">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3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开展人道救助</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38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A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4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72B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0E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0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C9AD">
            <w:pPr>
              <w:jc w:val="center"/>
              <w:rPr>
                <w:rFonts w:hint="eastAsia" w:ascii="微软雅黑" w:hAnsi="微软雅黑" w:eastAsia="微软雅黑" w:cs="微软雅黑"/>
                <w:i/>
                <w:iCs/>
                <w:color w:val="000000"/>
                <w:sz w:val="16"/>
                <w:szCs w:val="16"/>
                <w:u w:val="none"/>
              </w:rPr>
            </w:pPr>
          </w:p>
        </w:tc>
      </w:tr>
      <w:tr w14:paraId="42DA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498BC">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1DAA0">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25B61">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22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每年新增遗体和器官捐献志愿者</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E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36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99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0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9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58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F890">
            <w:pPr>
              <w:jc w:val="center"/>
              <w:rPr>
                <w:rFonts w:hint="eastAsia" w:ascii="微软雅黑" w:hAnsi="微软雅黑" w:eastAsia="微软雅黑" w:cs="微软雅黑"/>
                <w:i/>
                <w:iCs/>
                <w:color w:val="000000"/>
                <w:sz w:val="16"/>
                <w:szCs w:val="16"/>
                <w:u w:val="none"/>
              </w:rPr>
            </w:pPr>
          </w:p>
        </w:tc>
      </w:tr>
      <w:tr w14:paraId="5F478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FB0E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8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06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E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红十字赈济救援队专业化能力进一步增强</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77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BD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5C9A">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3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C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A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4770">
            <w:pPr>
              <w:jc w:val="center"/>
              <w:rPr>
                <w:rFonts w:hint="eastAsia" w:ascii="微软雅黑" w:hAnsi="微软雅黑" w:eastAsia="微软雅黑" w:cs="微软雅黑"/>
                <w:i/>
                <w:iCs/>
                <w:color w:val="000000"/>
                <w:sz w:val="16"/>
                <w:szCs w:val="16"/>
                <w:u w:val="none"/>
              </w:rPr>
            </w:pPr>
          </w:p>
        </w:tc>
      </w:tr>
      <w:tr w14:paraId="73B1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3AF3D">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1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0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C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红十字公信力进一步增强</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D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6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C57A">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9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0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6B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6E99">
            <w:pPr>
              <w:jc w:val="center"/>
              <w:rPr>
                <w:rFonts w:hint="eastAsia" w:ascii="微软雅黑" w:hAnsi="微软雅黑" w:eastAsia="微软雅黑" w:cs="微软雅黑"/>
                <w:i/>
                <w:iCs/>
                <w:color w:val="000000"/>
                <w:sz w:val="16"/>
                <w:szCs w:val="16"/>
                <w:u w:val="none"/>
              </w:rPr>
            </w:pPr>
          </w:p>
        </w:tc>
      </w:tr>
      <w:tr w14:paraId="2A72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D6F4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7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E744">
            <w:pPr>
              <w:rPr>
                <w:rFonts w:hint="eastAsia" w:ascii="宋体" w:hAnsi="宋体" w:eastAsia="宋体" w:cs="宋体"/>
                <w:i w:val="0"/>
                <w:iCs w:val="0"/>
                <w:color w:val="000000"/>
                <w:sz w:val="18"/>
                <w:szCs w:val="18"/>
                <w:u w:val="none"/>
              </w:rPr>
            </w:pP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1D49">
            <w:pPr>
              <w:rPr>
                <w:rFonts w:hint="eastAsia" w:ascii="宋体" w:hAnsi="宋体" w:eastAsia="宋体" w:cs="宋体"/>
                <w:i w:val="0"/>
                <w:iCs w:val="0"/>
                <w:color w:val="000000"/>
                <w:sz w:val="18"/>
                <w:szCs w:val="18"/>
                <w:u w:val="none"/>
              </w:rPr>
            </w:pPr>
          </w:p>
        </w:tc>
      </w:tr>
      <w:tr w14:paraId="6310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3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DB50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自贡市红十字会年度工作计划，扎实开展“三救”“三献”服务活动，组织、参与、推动无偿献血、造血干细胞捐献、遗体和人体器官捐献等工作。预算绩效目标设置合理，预算执行率达到100%，项目绩效目标完成情况良好。</w:t>
            </w:r>
          </w:p>
        </w:tc>
      </w:tr>
      <w:tr w14:paraId="5E589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6E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74C3DE">
            <w:pPr>
              <w:rPr>
                <w:rFonts w:hint="eastAsia" w:ascii="微软雅黑" w:hAnsi="微软雅黑" w:eastAsia="微软雅黑" w:cs="微软雅黑"/>
                <w:i/>
                <w:iCs/>
                <w:color w:val="000000"/>
                <w:sz w:val="16"/>
                <w:szCs w:val="16"/>
                <w:u w:val="none"/>
              </w:rPr>
            </w:pPr>
          </w:p>
        </w:tc>
      </w:tr>
      <w:tr w14:paraId="6628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1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19BB8D">
            <w:pPr>
              <w:rPr>
                <w:rFonts w:hint="eastAsia" w:ascii="微软雅黑" w:hAnsi="微软雅黑" w:eastAsia="微软雅黑" w:cs="微软雅黑"/>
                <w:i/>
                <w:iCs/>
                <w:color w:val="000000"/>
                <w:sz w:val="16"/>
                <w:szCs w:val="16"/>
                <w:u w:val="none"/>
              </w:rPr>
            </w:pPr>
          </w:p>
        </w:tc>
      </w:tr>
      <w:tr w14:paraId="5654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CFC3D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80B10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r w14:paraId="27FB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tcBorders>
              <w:top w:val="nil"/>
              <w:left w:val="nil"/>
              <w:bottom w:val="nil"/>
              <w:right w:val="nil"/>
            </w:tcBorders>
            <w:shd w:val="clear" w:color="auto" w:fill="auto"/>
            <w:vAlign w:val="center"/>
          </w:tcPr>
          <w:p w14:paraId="27063FDD">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41B2648A">
            <w:pPr>
              <w:rPr>
                <w:rFonts w:hint="eastAsia" w:ascii="宋体" w:hAnsi="宋体" w:eastAsia="宋体" w:cs="宋体"/>
                <w:i w:val="0"/>
                <w:iCs w:val="0"/>
                <w:color w:val="000000"/>
                <w:sz w:val="18"/>
                <w:szCs w:val="18"/>
                <w:u w:val="none"/>
              </w:rPr>
            </w:pPr>
          </w:p>
        </w:tc>
        <w:tc>
          <w:tcPr>
            <w:tcW w:w="1257" w:type="dxa"/>
            <w:tcBorders>
              <w:top w:val="nil"/>
              <w:left w:val="nil"/>
              <w:bottom w:val="nil"/>
              <w:right w:val="nil"/>
            </w:tcBorders>
            <w:shd w:val="clear" w:color="auto" w:fill="auto"/>
            <w:vAlign w:val="center"/>
          </w:tcPr>
          <w:p w14:paraId="696426FD">
            <w:pPr>
              <w:rPr>
                <w:rFonts w:hint="eastAsia" w:ascii="宋体" w:hAnsi="宋体" w:eastAsia="宋体" w:cs="宋体"/>
                <w:i w:val="0"/>
                <w:iCs w:val="0"/>
                <w:color w:val="000000"/>
                <w:sz w:val="18"/>
                <w:szCs w:val="18"/>
                <w:u w:val="none"/>
              </w:rPr>
            </w:pPr>
          </w:p>
        </w:tc>
        <w:tc>
          <w:tcPr>
            <w:tcW w:w="1603" w:type="dxa"/>
            <w:tcBorders>
              <w:top w:val="nil"/>
              <w:left w:val="nil"/>
              <w:bottom w:val="nil"/>
              <w:right w:val="nil"/>
            </w:tcBorders>
            <w:shd w:val="clear" w:color="auto" w:fill="auto"/>
            <w:vAlign w:val="center"/>
          </w:tcPr>
          <w:p w14:paraId="61D34BC6">
            <w:pPr>
              <w:rPr>
                <w:rFonts w:hint="eastAsia" w:ascii="宋体" w:hAnsi="宋体" w:eastAsia="宋体" w:cs="宋体"/>
                <w:i w:val="0"/>
                <w:iCs w:val="0"/>
                <w:color w:val="000000"/>
                <w:sz w:val="18"/>
                <w:szCs w:val="18"/>
                <w:u w:val="none"/>
              </w:rPr>
            </w:pPr>
          </w:p>
        </w:tc>
        <w:tc>
          <w:tcPr>
            <w:tcW w:w="369" w:type="dxa"/>
            <w:tcBorders>
              <w:top w:val="nil"/>
              <w:left w:val="nil"/>
              <w:bottom w:val="nil"/>
              <w:right w:val="nil"/>
            </w:tcBorders>
            <w:shd w:val="clear" w:color="auto" w:fill="auto"/>
            <w:vAlign w:val="center"/>
          </w:tcPr>
          <w:p w14:paraId="5847FD14">
            <w:pPr>
              <w:rPr>
                <w:rFonts w:hint="eastAsia" w:ascii="宋体" w:hAnsi="宋体" w:eastAsia="宋体" w:cs="宋体"/>
                <w:i w:val="0"/>
                <w:iCs w:val="0"/>
                <w:color w:val="000000"/>
                <w:sz w:val="18"/>
                <w:szCs w:val="18"/>
                <w:u w:val="none"/>
              </w:rPr>
            </w:pPr>
          </w:p>
        </w:tc>
        <w:tc>
          <w:tcPr>
            <w:tcW w:w="1188" w:type="dxa"/>
            <w:tcBorders>
              <w:top w:val="nil"/>
              <w:left w:val="nil"/>
              <w:bottom w:val="nil"/>
              <w:right w:val="nil"/>
            </w:tcBorders>
            <w:shd w:val="clear" w:color="auto" w:fill="auto"/>
            <w:vAlign w:val="center"/>
          </w:tcPr>
          <w:p w14:paraId="1483089F">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vAlign w:val="center"/>
          </w:tcPr>
          <w:p w14:paraId="1D7A86DC">
            <w:pPr>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auto"/>
            <w:vAlign w:val="center"/>
          </w:tcPr>
          <w:p w14:paraId="7C7EEEEB">
            <w:pPr>
              <w:rPr>
                <w:rFonts w:hint="eastAsia" w:ascii="宋体" w:hAnsi="宋体" w:eastAsia="宋体" w:cs="宋体"/>
                <w:i w:val="0"/>
                <w:iCs w:val="0"/>
                <w:color w:val="000000"/>
                <w:sz w:val="18"/>
                <w:szCs w:val="18"/>
                <w:u w:val="none"/>
              </w:rPr>
            </w:pPr>
          </w:p>
        </w:tc>
        <w:tc>
          <w:tcPr>
            <w:tcW w:w="358" w:type="dxa"/>
            <w:tcBorders>
              <w:top w:val="nil"/>
              <w:left w:val="nil"/>
              <w:bottom w:val="nil"/>
              <w:right w:val="nil"/>
            </w:tcBorders>
            <w:shd w:val="clear" w:color="auto" w:fill="auto"/>
            <w:vAlign w:val="center"/>
          </w:tcPr>
          <w:p w14:paraId="4AB5BBCA">
            <w:pPr>
              <w:rPr>
                <w:rFonts w:hint="eastAsia" w:ascii="宋体" w:hAnsi="宋体" w:eastAsia="宋体" w:cs="宋体"/>
                <w:i w:val="0"/>
                <w:iCs w:val="0"/>
                <w:color w:val="000000"/>
                <w:sz w:val="18"/>
                <w:szCs w:val="18"/>
                <w:u w:val="none"/>
              </w:rPr>
            </w:pPr>
          </w:p>
        </w:tc>
        <w:tc>
          <w:tcPr>
            <w:tcW w:w="345" w:type="dxa"/>
            <w:tcBorders>
              <w:top w:val="nil"/>
              <w:left w:val="nil"/>
              <w:bottom w:val="nil"/>
              <w:right w:val="nil"/>
            </w:tcBorders>
            <w:shd w:val="clear" w:color="auto" w:fill="auto"/>
            <w:vAlign w:val="center"/>
          </w:tcPr>
          <w:p w14:paraId="407A0ACC">
            <w:pPr>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auto"/>
            <w:vAlign w:val="center"/>
          </w:tcPr>
          <w:p w14:paraId="3B41C183">
            <w:pPr>
              <w:rPr>
                <w:rFonts w:hint="eastAsia" w:ascii="宋体" w:hAnsi="宋体" w:eastAsia="宋体" w:cs="宋体"/>
                <w:i w:val="0"/>
                <w:iCs w:val="0"/>
                <w:color w:val="000000"/>
                <w:sz w:val="18"/>
                <w:szCs w:val="18"/>
                <w:u w:val="none"/>
              </w:rPr>
            </w:pPr>
          </w:p>
        </w:tc>
      </w:tr>
      <w:tr w14:paraId="3E253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E9EE7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C1FB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953B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34736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51030023T000008349636-“博爱自贡”品牌体系建设经费</w:t>
            </w:r>
          </w:p>
        </w:tc>
      </w:tr>
      <w:tr w14:paraId="6B36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39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8F51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自贡市红十字会部门</w:t>
            </w:r>
          </w:p>
        </w:tc>
        <w:tc>
          <w:tcPr>
            <w:tcW w:w="774" w:type="dxa"/>
            <w:tcBorders>
              <w:top w:val="nil"/>
              <w:left w:val="nil"/>
              <w:bottom w:val="nil"/>
              <w:right w:val="nil"/>
            </w:tcBorders>
            <w:shd w:val="clear" w:color="auto" w:fill="auto"/>
            <w:vAlign w:val="center"/>
          </w:tcPr>
          <w:p w14:paraId="63D13B10">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448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1F093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23A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DAFA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6FF5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49EFCA">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F7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AEBDB">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84FFA">
            <w:pPr>
              <w:rPr>
                <w:rFonts w:hint="eastAsia" w:ascii="宋体" w:hAnsi="宋体" w:eastAsia="宋体" w:cs="宋体"/>
                <w:i w:val="0"/>
                <w:iCs w:val="0"/>
                <w:color w:val="000000"/>
                <w:sz w:val="18"/>
                <w:szCs w:val="18"/>
                <w:u w:val="none"/>
              </w:rPr>
            </w:pP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BDAE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（一）加强红十字基层组织建设。按照“五有”标准，在自贡市打造红十字基层组织，开展阵地建设，建设红十字服务站和博爱家园等项目，不断激发基层组织活力，打造群众身边的红十字会。</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二）开展志愿服务行动。组织动员全市红十字志愿者，深入社区、学校等地开展各种开展内容丰富、形式多样的公益志愿服务活动，广泛传播红十字运动精神和人道文化，树立和提升红十字志愿服务工作品牌的影响力、感召力和吸引力。</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三）开展红十字青少年文化传播行动。利用学校红十字会组织，壮大红十字青少年队伍，积极开展以弘扬“人道、博爱、奉献”的红十字精神为主题的红十字青少年活动，使其成为推进学校德育教育和素质教育的有效途径和载体；聚焦青年群体传播“防艾”知识，提升健康意识。</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457DAD">
            <w:pPr>
              <w:keepNext w:val="0"/>
              <w:keepLines w:val="0"/>
              <w:widowControl/>
              <w:suppressLineNumbers w:val="0"/>
              <w:jc w:val="both"/>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年度目标，推动红十字基层组织建设6个，开展志愿者服务活动100余场次，利用学校红十字会组织，壮大红十字青少年队伍，积极开展以弘扬“人道、博爱、奉献”的红十字精神为主题的红十字青少年活动5场次。</w:t>
            </w:r>
          </w:p>
        </w:tc>
      </w:tr>
      <w:tr w14:paraId="4AD40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A1026">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B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926558">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开展红十字基层组织建设6个，开展志愿者服务活动100余场次，利用学校红十字会组织，壮大红十字青少年队伍，积极开展以弘扬“人道、博爱、奉献”的红十字精神为主题的红十字青少年活动5场次。</w:t>
            </w:r>
          </w:p>
        </w:tc>
      </w:tr>
      <w:tr w14:paraId="0FEB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1D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6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8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8D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CF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A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6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72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35A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B1401">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BF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F2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C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102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7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C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F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027A3">
            <w:pPr>
              <w:rPr>
                <w:rFonts w:hint="eastAsia" w:ascii="黑体" w:hAnsi="黑体" w:eastAsia="黑体" w:cs="黑体"/>
                <w:i/>
                <w:iCs/>
                <w:color w:val="000000"/>
                <w:sz w:val="18"/>
                <w:szCs w:val="18"/>
                <w:u w:val="none"/>
              </w:rPr>
            </w:pPr>
          </w:p>
        </w:tc>
      </w:tr>
      <w:tr w14:paraId="672FA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BAC6">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CE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D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380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E43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DF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B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52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F9ED4">
            <w:pPr>
              <w:rPr>
                <w:rFonts w:hint="eastAsia" w:ascii="黑体" w:hAnsi="黑体" w:eastAsia="黑体" w:cs="黑体"/>
                <w:i/>
                <w:iCs/>
                <w:color w:val="000000"/>
                <w:sz w:val="18"/>
                <w:szCs w:val="18"/>
                <w:u w:val="none"/>
              </w:rPr>
            </w:pPr>
          </w:p>
        </w:tc>
      </w:tr>
      <w:tr w14:paraId="701B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CFDD1">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1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F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3D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C78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1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06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23C0E">
            <w:pPr>
              <w:rPr>
                <w:rFonts w:hint="eastAsia" w:ascii="黑体" w:hAnsi="黑体" w:eastAsia="黑体" w:cs="黑体"/>
                <w:i/>
                <w:iCs/>
                <w:color w:val="000000"/>
                <w:sz w:val="18"/>
                <w:szCs w:val="18"/>
                <w:u w:val="none"/>
              </w:rPr>
            </w:pPr>
          </w:p>
        </w:tc>
      </w:tr>
      <w:tr w14:paraId="0D978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C14BE">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3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A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C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87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EE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1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2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EA4C6">
            <w:pPr>
              <w:rPr>
                <w:rFonts w:hint="eastAsia" w:ascii="黑体" w:hAnsi="黑体" w:eastAsia="黑体" w:cs="黑体"/>
                <w:i/>
                <w:iCs/>
                <w:color w:val="000000"/>
                <w:sz w:val="18"/>
                <w:szCs w:val="18"/>
                <w:u w:val="none"/>
              </w:rPr>
            </w:pPr>
          </w:p>
        </w:tc>
      </w:tr>
      <w:tr w14:paraId="6499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FD3BD">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E4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2FE2">
            <w:pPr>
              <w:jc w:val="center"/>
              <w:rPr>
                <w:rFonts w:hint="eastAsia" w:ascii="微软雅黑" w:hAnsi="微软雅黑" w:eastAsia="微软雅黑" w:cs="微软雅黑"/>
                <w:i/>
                <w:iCs/>
                <w:color w:val="000000"/>
                <w:sz w:val="16"/>
                <w:szCs w:val="16"/>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CF00">
            <w:pPr>
              <w:jc w:val="center"/>
              <w:rPr>
                <w:rFonts w:hint="eastAsia" w:ascii="微软雅黑" w:hAnsi="微软雅黑" w:eastAsia="微软雅黑" w:cs="微软雅黑"/>
                <w:i/>
                <w:iCs/>
                <w:color w:val="000000"/>
                <w:sz w:val="16"/>
                <w:szCs w:val="16"/>
                <w:u w:val="none"/>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E95BF">
            <w:pPr>
              <w:jc w:val="center"/>
              <w:rPr>
                <w:rFonts w:hint="eastAsia" w:ascii="微软雅黑" w:hAnsi="微软雅黑" w:eastAsia="微软雅黑" w:cs="微软雅黑"/>
                <w:i/>
                <w:iCs/>
                <w:color w:val="000000"/>
                <w:sz w:val="16"/>
                <w:szCs w:val="16"/>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3FC8">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5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B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E679F">
            <w:pPr>
              <w:rPr>
                <w:rFonts w:hint="eastAsia" w:ascii="黑体" w:hAnsi="黑体" w:eastAsia="黑体" w:cs="黑体"/>
                <w:i/>
                <w:iCs/>
                <w:color w:val="000000"/>
                <w:sz w:val="18"/>
                <w:szCs w:val="18"/>
                <w:u w:val="none"/>
              </w:rPr>
            </w:pPr>
          </w:p>
        </w:tc>
      </w:tr>
      <w:tr w14:paraId="4421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5A9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4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A5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3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3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69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4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50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7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9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F32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99D66">
            <w:pPr>
              <w:jc w:val="center"/>
              <w:rPr>
                <w:rFonts w:hint="eastAsia" w:ascii="宋体" w:hAnsi="宋体" w:eastAsia="宋体" w:cs="宋体"/>
                <w:i w:val="0"/>
                <w:iCs w:val="0"/>
                <w:color w:val="000000"/>
                <w:sz w:val="18"/>
                <w:szCs w:val="18"/>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1B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1A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45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开展志愿服务活动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8F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22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A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D99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1D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5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5D53">
            <w:pPr>
              <w:jc w:val="center"/>
              <w:rPr>
                <w:rFonts w:hint="eastAsia" w:ascii="微软雅黑" w:hAnsi="微软雅黑" w:eastAsia="微软雅黑" w:cs="微软雅黑"/>
                <w:i/>
                <w:iCs/>
                <w:color w:val="000000"/>
                <w:sz w:val="16"/>
                <w:szCs w:val="16"/>
                <w:u w:val="none"/>
              </w:rPr>
            </w:pPr>
          </w:p>
        </w:tc>
      </w:tr>
      <w:tr w14:paraId="3FEBF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EEB7A">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F6373">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565B">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开展红十字青少年活动</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1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1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5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DFE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3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F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C201">
            <w:pPr>
              <w:jc w:val="center"/>
              <w:rPr>
                <w:rFonts w:hint="eastAsia" w:ascii="微软雅黑" w:hAnsi="微软雅黑" w:eastAsia="微软雅黑" w:cs="微软雅黑"/>
                <w:i/>
                <w:iCs/>
                <w:color w:val="000000"/>
                <w:sz w:val="16"/>
                <w:szCs w:val="16"/>
                <w:u w:val="none"/>
              </w:rPr>
            </w:pPr>
          </w:p>
        </w:tc>
      </w:tr>
      <w:tr w14:paraId="2358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CB8F7">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5657">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CA95E">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7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建设红十字基层组织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19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88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6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C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1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01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BF92">
            <w:pPr>
              <w:jc w:val="center"/>
              <w:rPr>
                <w:rFonts w:hint="eastAsia" w:ascii="微软雅黑" w:hAnsi="微软雅黑" w:eastAsia="微软雅黑" w:cs="微软雅黑"/>
                <w:i/>
                <w:iCs/>
                <w:color w:val="000000"/>
                <w:sz w:val="16"/>
                <w:szCs w:val="16"/>
                <w:u w:val="none"/>
              </w:rPr>
            </w:pPr>
          </w:p>
        </w:tc>
      </w:tr>
      <w:tr w14:paraId="3AF2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5B85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9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B7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F0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红十字基层组织服务能力进一步增强</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9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E354">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7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2D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A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F9B">
            <w:pPr>
              <w:jc w:val="center"/>
              <w:rPr>
                <w:rFonts w:hint="eastAsia" w:ascii="微软雅黑" w:hAnsi="微软雅黑" w:eastAsia="微软雅黑" w:cs="微软雅黑"/>
                <w:i/>
                <w:iCs/>
                <w:color w:val="000000"/>
                <w:sz w:val="16"/>
                <w:szCs w:val="16"/>
                <w:u w:val="none"/>
              </w:rPr>
            </w:pPr>
          </w:p>
        </w:tc>
      </w:tr>
      <w:tr w14:paraId="78BB0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480D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CC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6296">
            <w:pPr>
              <w:rPr>
                <w:rFonts w:hint="eastAsia" w:ascii="宋体" w:hAnsi="宋体" w:eastAsia="宋体" w:cs="宋体"/>
                <w:i w:val="0"/>
                <w:iCs w:val="0"/>
                <w:color w:val="000000"/>
                <w:sz w:val="18"/>
                <w:szCs w:val="18"/>
                <w:u w:val="none"/>
              </w:rPr>
            </w:pPr>
          </w:p>
        </w:tc>
      </w:tr>
      <w:tr w14:paraId="049A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D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229A5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按照自贡市红十字会年度工作计划，扎实开展红十字基层组织建设、志愿服务和青少年文化传播等博爱自贡活动。预算绩效目标设置合理，预算执行率达到100%，项目绩效目标完成情况良好。</w:t>
            </w:r>
          </w:p>
        </w:tc>
      </w:tr>
      <w:tr w14:paraId="1609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4A0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EB1FA6">
            <w:pPr>
              <w:rPr>
                <w:rFonts w:hint="eastAsia" w:ascii="微软雅黑" w:hAnsi="微软雅黑" w:eastAsia="微软雅黑" w:cs="微软雅黑"/>
                <w:i/>
                <w:iCs/>
                <w:color w:val="000000"/>
                <w:sz w:val="16"/>
                <w:szCs w:val="16"/>
                <w:u w:val="none"/>
              </w:rPr>
            </w:pPr>
          </w:p>
        </w:tc>
      </w:tr>
      <w:tr w14:paraId="2B94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82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AC3336">
            <w:pPr>
              <w:rPr>
                <w:rFonts w:hint="eastAsia" w:ascii="微软雅黑" w:hAnsi="微软雅黑" w:eastAsia="微软雅黑" w:cs="微软雅黑"/>
                <w:i/>
                <w:iCs/>
                <w:color w:val="000000"/>
                <w:sz w:val="16"/>
                <w:szCs w:val="16"/>
                <w:u w:val="none"/>
              </w:rPr>
            </w:pPr>
          </w:p>
        </w:tc>
      </w:tr>
      <w:tr w14:paraId="472C8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A6BCF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4B414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r w14:paraId="5C1B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tcBorders>
              <w:top w:val="nil"/>
              <w:left w:val="nil"/>
              <w:bottom w:val="nil"/>
              <w:right w:val="nil"/>
            </w:tcBorders>
            <w:shd w:val="clear" w:color="auto" w:fill="auto"/>
            <w:vAlign w:val="center"/>
          </w:tcPr>
          <w:p w14:paraId="28E68C44">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0213DDC0">
            <w:pPr>
              <w:rPr>
                <w:rFonts w:hint="eastAsia" w:ascii="宋体" w:hAnsi="宋体" w:eastAsia="宋体" w:cs="宋体"/>
                <w:i w:val="0"/>
                <w:iCs w:val="0"/>
                <w:color w:val="000000"/>
                <w:sz w:val="18"/>
                <w:szCs w:val="18"/>
                <w:u w:val="none"/>
              </w:rPr>
            </w:pPr>
          </w:p>
        </w:tc>
        <w:tc>
          <w:tcPr>
            <w:tcW w:w="1257" w:type="dxa"/>
            <w:tcBorders>
              <w:top w:val="nil"/>
              <w:left w:val="nil"/>
              <w:bottom w:val="nil"/>
              <w:right w:val="nil"/>
            </w:tcBorders>
            <w:shd w:val="clear" w:color="auto" w:fill="auto"/>
            <w:vAlign w:val="center"/>
          </w:tcPr>
          <w:p w14:paraId="09F88FB3">
            <w:pPr>
              <w:rPr>
                <w:rFonts w:hint="eastAsia" w:ascii="宋体" w:hAnsi="宋体" w:eastAsia="宋体" w:cs="宋体"/>
                <w:i w:val="0"/>
                <w:iCs w:val="0"/>
                <w:color w:val="000000"/>
                <w:sz w:val="18"/>
                <w:szCs w:val="18"/>
                <w:u w:val="none"/>
              </w:rPr>
            </w:pPr>
          </w:p>
        </w:tc>
        <w:tc>
          <w:tcPr>
            <w:tcW w:w="1603" w:type="dxa"/>
            <w:tcBorders>
              <w:top w:val="nil"/>
              <w:left w:val="nil"/>
              <w:bottom w:val="nil"/>
              <w:right w:val="nil"/>
            </w:tcBorders>
            <w:shd w:val="clear" w:color="auto" w:fill="auto"/>
            <w:vAlign w:val="center"/>
          </w:tcPr>
          <w:p w14:paraId="11CE0787">
            <w:pPr>
              <w:rPr>
                <w:rFonts w:hint="eastAsia" w:ascii="宋体" w:hAnsi="宋体" w:eastAsia="宋体" w:cs="宋体"/>
                <w:i w:val="0"/>
                <w:iCs w:val="0"/>
                <w:color w:val="000000"/>
                <w:sz w:val="18"/>
                <w:szCs w:val="18"/>
                <w:u w:val="none"/>
              </w:rPr>
            </w:pPr>
          </w:p>
        </w:tc>
        <w:tc>
          <w:tcPr>
            <w:tcW w:w="369" w:type="dxa"/>
            <w:tcBorders>
              <w:top w:val="nil"/>
              <w:left w:val="nil"/>
              <w:bottom w:val="nil"/>
              <w:right w:val="nil"/>
            </w:tcBorders>
            <w:shd w:val="clear" w:color="auto" w:fill="auto"/>
            <w:vAlign w:val="center"/>
          </w:tcPr>
          <w:p w14:paraId="0858DD9B">
            <w:pPr>
              <w:rPr>
                <w:rFonts w:hint="eastAsia" w:ascii="宋体" w:hAnsi="宋体" w:eastAsia="宋体" w:cs="宋体"/>
                <w:i w:val="0"/>
                <w:iCs w:val="0"/>
                <w:color w:val="000000"/>
                <w:sz w:val="18"/>
                <w:szCs w:val="18"/>
                <w:u w:val="none"/>
              </w:rPr>
            </w:pPr>
          </w:p>
        </w:tc>
        <w:tc>
          <w:tcPr>
            <w:tcW w:w="1188" w:type="dxa"/>
            <w:tcBorders>
              <w:top w:val="nil"/>
              <w:left w:val="nil"/>
              <w:bottom w:val="nil"/>
              <w:right w:val="nil"/>
            </w:tcBorders>
            <w:shd w:val="clear" w:color="auto" w:fill="auto"/>
            <w:vAlign w:val="center"/>
          </w:tcPr>
          <w:p w14:paraId="241B2B2F">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vAlign w:val="center"/>
          </w:tcPr>
          <w:p w14:paraId="6DFF4530">
            <w:pPr>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auto"/>
            <w:vAlign w:val="center"/>
          </w:tcPr>
          <w:p w14:paraId="0B99BEF2">
            <w:pPr>
              <w:rPr>
                <w:rFonts w:hint="eastAsia" w:ascii="宋体" w:hAnsi="宋体" w:eastAsia="宋体" w:cs="宋体"/>
                <w:i w:val="0"/>
                <w:iCs w:val="0"/>
                <w:color w:val="000000"/>
                <w:sz w:val="18"/>
                <w:szCs w:val="18"/>
                <w:u w:val="none"/>
              </w:rPr>
            </w:pPr>
          </w:p>
        </w:tc>
        <w:tc>
          <w:tcPr>
            <w:tcW w:w="358" w:type="dxa"/>
            <w:tcBorders>
              <w:top w:val="nil"/>
              <w:left w:val="nil"/>
              <w:bottom w:val="nil"/>
              <w:right w:val="nil"/>
            </w:tcBorders>
            <w:shd w:val="clear" w:color="auto" w:fill="auto"/>
            <w:vAlign w:val="center"/>
          </w:tcPr>
          <w:p w14:paraId="4E03208A">
            <w:pPr>
              <w:rPr>
                <w:rFonts w:hint="eastAsia" w:ascii="宋体" w:hAnsi="宋体" w:eastAsia="宋体" w:cs="宋体"/>
                <w:i w:val="0"/>
                <w:iCs w:val="0"/>
                <w:color w:val="000000"/>
                <w:sz w:val="18"/>
                <w:szCs w:val="18"/>
                <w:u w:val="none"/>
              </w:rPr>
            </w:pPr>
          </w:p>
        </w:tc>
        <w:tc>
          <w:tcPr>
            <w:tcW w:w="345" w:type="dxa"/>
            <w:tcBorders>
              <w:top w:val="nil"/>
              <w:left w:val="nil"/>
              <w:bottom w:val="nil"/>
              <w:right w:val="nil"/>
            </w:tcBorders>
            <w:shd w:val="clear" w:color="auto" w:fill="auto"/>
            <w:vAlign w:val="center"/>
          </w:tcPr>
          <w:p w14:paraId="33938715">
            <w:pPr>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auto"/>
            <w:vAlign w:val="center"/>
          </w:tcPr>
          <w:p w14:paraId="7E9DDFDA">
            <w:pPr>
              <w:rPr>
                <w:rFonts w:hint="eastAsia" w:ascii="宋体" w:hAnsi="宋体" w:eastAsia="宋体" w:cs="宋体"/>
                <w:i w:val="0"/>
                <w:iCs w:val="0"/>
                <w:color w:val="000000"/>
                <w:sz w:val="18"/>
                <w:szCs w:val="18"/>
                <w:u w:val="none"/>
              </w:rPr>
            </w:pPr>
          </w:p>
        </w:tc>
      </w:tr>
      <w:tr w14:paraId="116C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00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019D52">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142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FBE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2B2BC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51030023T000008863504</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红十字会改革及事业发展经费</w:t>
            </w:r>
          </w:p>
        </w:tc>
      </w:tr>
      <w:tr w14:paraId="1E72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9C7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3E7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自贡市红十字会部门</w:t>
            </w:r>
          </w:p>
        </w:tc>
        <w:tc>
          <w:tcPr>
            <w:tcW w:w="774" w:type="dxa"/>
            <w:tcBorders>
              <w:top w:val="nil"/>
              <w:left w:val="nil"/>
              <w:bottom w:val="nil"/>
              <w:right w:val="nil"/>
            </w:tcBorders>
            <w:shd w:val="clear" w:color="auto" w:fill="auto"/>
            <w:vAlign w:val="center"/>
          </w:tcPr>
          <w:p w14:paraId="4D4959C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33B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自贡市红十字会</w:t>
            </w:r>
          </w:p>
        </w:tc>
      </w:tr>
      <w:tr w14:paraId="31338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861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37E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9B7C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FEF0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39F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8BEBB">
            <w:pP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992F">
            <w:pPr>
              <w:rPr>
                <w:rFonts w:hint="eastAsia" w:ascii="宋体" w:hAnsi="宋体" w:eastAsia="宋体" w:cs="宋体"/>
                <w:i w:val="0"/>
                <w:iCs w:val="0"/>
                <w:color w:val="000000"/>
                <w:sz w:val="18"/>
                <w:szCs w:val="18"/>
                <w:u w:val="none"/>
              </w:rPr>
            </w:pPr>
          </w:p>
        </w:tc>
        <w:tc>
          <w:tcPr>
            <w:tcW w:w="4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10D7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深化红十字会改革建设，加强红十字基层组织建设，依法依规组织开展红十字会换届，全面理顺红十字会管理体制。扎实做好“三救三献”核心业务，加大救援救护培训力度，做实做强人道救助项目。持续加强红十字应急救援能力建设，在市级建立一支初步具备专业化救援能力的红十字救援队伍，配备必要的救援装备和车辆并加强日常维护。</w:t>
            </w:r>
          </w:p>
        </w:tc>
        <w:tc>
          <w:tcPr>
            <w:tcW w:w="3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A54E9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2023年红十字改革及事业发展项目财政拨款6万元，顺利完成红十字会换届，全面理顺红十字会管理体制。扎实做好“三救三献”核心业务，加大救援救护培训力度，做实做强人道救助项目。</w:t>
            </w:r>
          </w:p>
        </w:tc>
      </w:tr>
      <w:tr w14:paraId="2783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6DF1">
            <w:pP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B8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543423">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根据年度工作要点，顺利召开红十字换届大会，推进基层红十字会组织建设6个，红十字应急救援能力进一步提升。</w:t>
            </w:r>
          </w:p>
        </w:tc>
      </w:tr>
      <w:tr w14:paraId="25A7F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07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2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9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3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1C6D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64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C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E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B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9A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AB97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97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0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5D2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16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B3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0C9A79">
            <w:pPr>
              <w:rPr>
                <w:rFonts w:hint="eastAsia" w:ascii="黑体" w:hAnsi="黑体" w:eastAsia="黑体" w:cs="黑体"/>
                <w:i/>
                <w:iCs/>
                <w:color w:val="000000"/>
                <w:sz w:val="18"/>
                <w:szCs w:val="18"/>
                <w:u w:val="none"/>
              </w:rPr>
            </w:pPr>
          </w:p>
        </w:tc>
      </w:tr>
      <w:tr w14:paraId="56B2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03015">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AD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1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1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D124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6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5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F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E406">
            <w:pPr>
              <w:rPr>
                <w:rFonts w:hint="eastAsia" w:ascii="黑体" w:hAnsi="黑体" w:eastAsia="黑体" w:cs="黑体"/>
                <w:i/>
                <w:iCs/>
                <w:color w:val="000000"/>
                <w:sz w:val="18"/>
                <w:szCs w:val="18"/>
                <w:u w:val="none"/>
              </w:rPr>
            </w:pPr>
          </w:p>
        </w:tc>
      </w:tr>
      <w:tr w14:paraId="07F9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951A">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3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2C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A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4E7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A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D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8E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38946">
            <w:pPr>
              <w:rPr>
                <w:rFonts w:hint="eastAsia" w:ascii="黑体" w:hAnsi="黑体" w:eastAsia="黑体" w:cs="黑体"/>
                <w:i/>
                <w:iCs/>
                <w:color w:val="000000"/>
                <w:sz w:val="18"/>
                <w:szCs w:val="18"/>
                <w:u w:val="none"/>
              </w:rPr>
            </w:pPr>
          </w:p>
        </w:tc>
      </w:tr>
      <w:tr w14:paraId="6196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AF17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4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1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5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8884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4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2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3E724">
            <w:pPr>
              <w:rPr>
                <w:rFonts w:hint="eastAsia" w:ascii="黑体" w:hAnsi="黑体" w:eastAsia="黑体" w:cs="黑体"/>
                <w:i/>
                <w:iCs/>
                <w:color w:val="000000"/>
                <w:sz w:val="18"/>
                <w:szCs w:val="18"/>
                <w:u w:val="none"/>
              </w:rPr>
            </w:pPr>
          </w:p>
        </w:tc>
      </w:tr>
      <w:tr w14:paraId="26CA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3001C">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F2B0">
            <w:pPr>
              <w:jc w:val="center"/>
              <w:rPr>
                <w:rFonts w:hint="eastAsia" w:ascii="微软雅黑" w:hAnsi="微软雅黑" w:eastAsia="微软雅黑" w:cs="微软雅黑"/>
                <w:i/>
                <w:iCs/>
                <w:color w:val="000000"/>
                <w:sz w:val="16"/>
                <w:szCs w:val="16"/>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0440">
            <w:pPr>
              <w:jc w:val="center"/>
              <w:rPr>
                <w:rFonts w:hint="eastAsia" w:ascii="微软雅黑" w:hAnsi="微软雅黑" w:eastAsia="微软雅黑" w:cs="微软雅黑"/>
                <w:i/>
                <w:iCs/>
                <w:color w:val="000000"/>
                <w:sz w:val="16"/>
                <w:szCs w:val="16"/>
                <w:u w:val="none"/>
              </w:rPr>
            </w:pP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6CA1C3">
            <w:pPr>
              <w:jc w:val="center"/>
              <w:rPr>
                <w:rFonts w:hint="eastAsia" w:ascii="微软雅黑" w:hAnsi="微软雅黑" w:eastAsia="微软雅黑" w:cs="微软雅黑"/>
                <w:i/>
                <w:iCs/>
                <w:color w:val="000000"/>
                <w:sz w:val="16"/>
                <w:szCs w:val="16"/>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A43F">
            <w:pPr>
              <w:jc w:val="center"/>
              <w:rPr>
                <w:rFonts w:hint="eastAsia" w:ascii="微软雅黑" w:hAnsi="微软雅黑" w:eastAsia="微软雅黑" w:cs="微软雅黑"/>
                <w:i/>
                <w:iCs/>
                <w:color w:val="000000"/>
                <w:sz w:val="16"/>
                <w:szCs w:val="16"/>
                <w:u w:val="non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BA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E1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AFAA4">
            <w:pPr>
              <w:rPr>
                <w:rFonts w:hint="eastAsia" w:ascii="黑体" w:hAnsi="黑体" w:eastAsia="黑体" w:cs="黑体"/>
                <w:i/>
                <w:iCs/>
                <w:color w:val="000000"/>
                <w:sz w:val="18"/>
                <w:szCs w:val="18"/>
                <w:u w:val="none"/>
              </w:rPr>
            </w:pPr>
          </w:p>
        </w:tc>
      </w:tr>
      <w:tr w14:paraId="006CA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A1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DE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2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F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8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2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C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3A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5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45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5C35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6CC15">
            <w:pPr>
              <w:jc w:val="center"/>
              <w:rPr>
                <w:rFonts w:hint="eastAsia" w:ascii="宋体" w:hAnsi="宋体" w:eastAsia="宋体" w:cs="宋体"/>
                <w:i w:val="0"/>
                <w:iCs w:val="0"/>
                <w:color w:val="000000"/>
                <w:sz w:val="18"/>
                <w:szCs w:val="18"/>
                <w:u w:val="none"/>
              </w:rPr>
            </w:pP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3A0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4E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6B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指导基层红十字会加强组织建设</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2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FE4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8C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D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A1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3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EEF6">
            <w:pPr>
              <w:jc w:val="center"/>
              <w:rPr>
                <w:rFonts w:hint="eastAsia" w:ascii="微软雅黑" w:hAnsi="微软雅黑" w:eastAsia="微软雅黑" w:cs="微软雅黑"/>
                <w:i/>
                <w:iCs/>
                <w:color w:val="000000"/>
                <w:sz w:val="16"/>
                <w:szCs w:val="16"/>
                <w:u w:val="none"/>
              </w:rPr>
            </w:pPr>
          </w:p>
        </w:tc>
      </w:tr>
      <w:tr w14:paraId="3FD6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5C939">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6629C">
            <w:pPr>
              <w:jc w:val="center"/>
              <w:rPr>
                <w:rFonts w:hint="eastAsia" w:ascii="宋体" w:hAnsi="宋体" w:eastAsia="宋体" w:cs="宋体"/>
                <w:i w:val="0"/>
                <w:iCs w:val="0"/>
                <w:color w:val="000000"/>
                <w:sz w:val="18"/>
                <w:szCs w:val="18"/>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F80F4">
            <w:pPr>
              <w:jc w:val="center"/>
              <w:rPr>
                <w:rFonts w:hint="eastAsia" w:ascii="宋体" w:hAnsi="宋体" w:eastAsia="宋体" w:cs="宋体"/>
                <w:i w:val="0"/>
                <w:iCs w:val="0"/>
                <w:color w:val="000000"/>
                <w:sz w:val="18"/>
                <w:szCs w:val="18"/>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依法依规召开红十字换届大会</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43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2E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C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7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0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AFC9">
            <w:pPr>
              <w:jc w:val="center"/>
              <w:rPr>
                <w:rFonts w:hint="eastAsia" w:ascii="微软雅黑" w:hAnsi="微软雅黑" w:eastAsia="微软雅黑" w:cs="微软雅黑"/>
                <w:i/>
                <w:iCs/>
                <w:color w:val="000000"/>
                <w:sz w:val="16"/>
                <w:szCs w:val="16"/>
                <w:u w:val="none"/>
              </w:rPr>
            </w:pPr>
          </w:p>
        </w:tc>
      </w:tr>
      <w:tr w14:paraId="2ADCC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6C77">
            <w:pPr>
              <w:jc w:val="center"/>
              <w:rPr>
                <w:rFonts w:hint="eastAsia" w:ascii="宋体" w:hAnsi="宋体" w:eastAsia="宋体" w:cs="宋体"/>
                <w:i w:val="0"/>
                <w:iCs w:val="0"/>
                <w:color w:val="000000"/>
                <w:sz w:val="18"/>
                <w:szCs w:val="18"/>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2824">
            <w:pPr>
              <w:jc w:val="center"/>
              <w:rPr>
                <w:rFonts w:hint="eastAsia" w:ascii="宋体" w:hAnsi="宋体" w:eastAsia="宋体" w:cs="宋体"/>
                <w:i w:val="0"/>
                <w:iCs w:val="0"/>
                <w:color w:val="000000"/>
                <w:sz w:val="18"/>
                <w:szCs w:val="18"/>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8E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3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进一步提升红十字应急救援能力</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B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9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10359">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A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8C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1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879B">
            <w:pPr>
              <w:jc w:val="center"/>
              <w:rPr>
                <w:rFonts w:hint="eastAsia" w:ascii="微软雅黑" w:hAnsi="微软雅黑" w:eastAsia="微软雅黑" w:cs="微软雅黑"/>
                <w:i/>
                <w:iCs/>
                <w:color w:val="000000"/>
                <w:sz w:val="16"/>
                <w:szCs w:val="16"/>
                <w:u w:val="none"/>
              </w:rPr>
            </w:pPr>
          </w:p>
        </w:tc>
      </w:tr>
      <w:tr w14:paraId="0ADB3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5352">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2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B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7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持续提升人道救助社会服务能力</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0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E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7ACA">
            <w:pPr>
              <w:jc w:val="center"/>
              <w:rPr>
                <w:rFonts w:hint="eastAsia" w:ascii="宋体" w:hAnsi="宋体" w:eastAsia="宋体" w:cs="宋体"/>
                <w:i w:val="0"/>
                <w:iCs w:val="0"/>
                <w:color w:val="000000"/>
                <w:sz w:val="18"/>
                <w:szCs w:val="18"/>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39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0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9187">
            <w:pPr>
              <w:jc w:val="center"/>
              <w:rPr>
                <w:rFonts w:hint="eastAsia" w:ascii="微软雅黑" w:hAnsi="微软雅黑" w:eastAsia="微软雅黑" w:cs="微软雅黑"/>
                <w:i/>
                <w:iCs/>
                <w:color w:val="000000"/>
                <w:sz w:val="16"/>
                <w:szCs w:val="16"/>
                <w:u w:val="none"/>
              </w:rPr>
            </w:pPr>
          </w:p>
        </w:tc>
      </w:tr>
      <w:tr w14:paraId="08CA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3DE97">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13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3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帮扶对象满意度指标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3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救助对象满意度</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E6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4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8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A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2C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56A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9A17">
            <w:pPr>
              <w:jc w:val="center"/>
              <w:rPr>
                <w:rFonts w:hint="eastAsia" w:ascii="微软雅黑" w:hAnsi="微软雅黑" w:eastAsia="微软雅黑" w:cs="微软雅黑"/>
                <w:i/>
                <w:iCs/>
                <w:color w:val="000000"/>
                <w:sz w:val="16"/>
                <w:szCs w:val="16"/>
                <w:u w:val="none"/>
              </w:rPr>
            </w:pPr>
          </w:p>
        </w:tc>
      </w:tr>
      <w:tr w14:paraId="7A47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136D9">
            <w:pPr>
              <w:jc w:val="center"/>
              <w:rPr>
                <w:rFonts w:hint="eastAsia" w:ascii="宋体" w:hAnsi="宋体" w:eastAsia="宋体" w:cs="宋体"/>
                <w:i w:val="0"/>
                <w:iCs w:val="0"/>
                <w:color w:val="000000"/>
                <w:sz w:val="18"/>
                <w:szCs w:val="18"/>
                <w:u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0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88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D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2023年资金投入</w:t>
            </w:r>
          </w:p>
        </w:tc>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D9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4E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1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80A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63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1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DD7B">
            <w:pPr>
              <w:jc w:val="center"/>
              <w:rPr>
                <w:rFonts w:hint="eastAsia" w:ascii="微软雅黑" w:hAnsi="微软雅黑" w:eastAsia="微软雅黑" w:cs="微软雅黑"/>
                <w:i/>
                <w:iCs/>
                <w:color w:val="000000"/>
                <w:sz w:val="16"/>
                <w:szCs w:val="16"/>
                <w:u w:val="none"/>
              </w:rPr>
            </w:pPr>
          </w:p>
        </w:tc>
      </w:tr>
      <w:tr w14:paraId="4C58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750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68A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A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DF6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E055">
            <w:pPr>
              <w:rPr>
                <w:rFonts w:hint="eastAsia" w:ascii="宋体" w:hAnsi="宋体" w:eastAsia="宋体" w:cs="宋体"/>
                <w:i w:val="0"/>
                <w:iCs w:val="0"/>
                <w:color w:val="000000"/>
                <w:sz w:val="18"/>
                <w:szCs w:val="18"/>
                <w:u w:val="none"/>
              </w:rPr>
            </w:pPr>
          </w:p>
        </w:tc>
      </w:tr>
      <w:tr w14:paraId="0520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8F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928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自贡市红十字会年度工作计划，顺利完成红十字会换届，全面理顺红十字会管理体制。扎实做好“三救三献”核心业务，加大救援救护培训力度，做实做强人道救助项目。预算绩效目标设置合理，预算执行率达到100%，项目绩效目标完成情况良好。</w:t>
            </w:r>
          </w:p>
        </w:tc>
      </w:tr>
      <w:tr w14:paraId="1552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B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E46073C">
            <w:pPr>
              <w:rPr>
                <w:rFonts w:hint="eastAsia" w:ascii="微软雅黑" w:hAnsi="微软雅黑" w:eastAsia="微软雅黑" w:cs="微软雅黑"/>
                <w:i/>
                <w:iCs/>
                <w:color w:val="000000"/>
                <w:sz w:val="16"/>
                <w:szCs w:val="16"/>
                <w:u w:val="none"/>
              </w:rPr>
            </w:pPr>
          </w:p>
        </w:tc>
      </w:tr>
      <w:tr w14:paraId="03EA3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0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5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081B788">
            <w:pPr>
              <w:rPr>
                <w:rFonts w:hint="eastAsia" w:ascii="微软雅黑" w:hAnsi="微软雅黑" w:eastAsia="微软雅黑" w:cs="微软雅黑"/>
                <w:i/>
                <w:iCs/>
                <w:color w:val="000000"/>
                <w:sz w:val="16"/>
                <w:szCs w:val="16"/>
                <w:u w:val="none"/>
              </w:rPr>
            </w:pPr>
          </w:p>
        </w:tc>
      </w:tr>
      <w:tr w14:paraId="7F38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51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E51E4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项目负责人：吴柏良</w:t>
            </w:r>
          </w:p>
        </w:tc>
        <w:tc>
          <w:tcPr>
            <w:tcW w:w="48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99DB0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财务负责人：张忠阳</w:t>
            </w:r>
          </w:p>
        </w:tc>
      </w:tr>
      <w:tr w14:paraId="55CE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486" w:type="dxa"/>
            <w:tcBorders>
              <w:top w:val="nil"/>
              <w:left w:val="nil"/>
              <w:bottom w:val="nil"/>
              <w:right w:val="nil"/>
            </w:tcBorders>
            <w:shd w:val="clear" w:color="auto" w:fill="auto"/>
            <w:vAlign w:val="center"/>
          </w:tcPr>
          <w:p w14:paraId="7AC3D965">
            <w:pPr>
              <w:rPr>
                <w:rFonts w:hint="eastAsia" w:ascii="宋体" w:hAnsi="宋体" w:eastAsia="宋体" w:cs="宋体"/>
                <w:i w:val="0"/>
                <w:iCs w:val="0"/>
                <w:color w:val="000000"/>
                <w:sz w:val="18"/>
                <w:szCs w:val="18"/>
                <w:u w:val="none"/>
              </w:rPr>
            </w:pPr>
          </w:p>
        </w:tc>
        <w:tc>
          <w:tcPr>
            <w:tcW w:w="1454" w:type="dxa"/>
            <w:tcBorders>
              <w:top w:val="nil"/>
              <w:left w:val="nil"/>
              <w:bottom w:val="nil"/>
              <w:right w:val="nil"/>
            </w:tcBorders>
            <w:shd w:val="clear" w:color="auto" w:fill="auto"/>
            <w:vAlign w:val="center"/>
          </w:tcPr>
          <w:p w14:paraId="41FB3E75">
            <w:pPr>
              <w:rPr>
                <w:rFonts w:hint="eastAsia" w:ascii="宋体" w:hAnsi="宋体" w:eastAsia="宋体" w:cs="宋体"/>
                <w:i w:val="0"/>
                <w:iCs w:val="0"/>
                <w:color w:val="000000"/>
                <w:sz w:val="18"/>
                <w:szCs w:val="18"/>
                <w:u w:val="none"/>
              </w:rPr>
            </w:pPr>
          </w:p>
        </w:tc>
        <w:tc>
          <w:tcPr>
            <w:tcW w:w="1257" w:type="dxa"/>
            <w:tcBorders>
              <w:top w:val="nil"/>
              <w:left w:val="nil"/>
              <w:bottom w:val="nil"/>
              <w:right w:val="nil"/>
            </w:tcBorders>
            <w:shd w:val="clear" w:color="auto" w:fill="auto"/>
            <w:vAlign w:val="center"/>
          </w:tcPr>
          <w:p w14:paraId="2EE3597E">
            <w:pPr>
              <w:rPr>
                <w:rFonts w:hint="eastAsia" w:ascii="宋体" w:hAnsi="宋体" w:eastAsia="宋体" w:cs="宋体"/>
                <w:i w:val="0"/>
                <w:iCs w:val="0"/>
                <w:color w:val="000000"/>
                <w:sz w:val="18"/>
                <w:szCs w:val="18"/>
                <w:u w:val="none"/>
              </w:rPr>
            </w:pPr>
          </w:p>
        </w:tc>
        <w:tc>
          <w:tcPr>
            <w:tcW w:w="1603" w:type="dxa"/>
            <w:tcBorders>
              <w:top w:val="nil"/>
              <w:left w:val="nil"/>
              <w:bottom w:val="nil"/>
              <w:right w:val="nil"/>
            </w:tcBorders>
            <w:shd w:val="clear" w:color="auto" w:fill="auto"/>
            <w:vAlign w:val="center"/>
          </w:tcPr>
          <w:p w14:paraId="2BEC0C9A">
            <w:pPr>
              <w:rPr>
                <w:rFonts w:hint="eastAsia" w:ascii="宋体" w:hAnsi="宋体" w:eastAsia="宋体" w:cs="宋体"/>
                <w:i w:val="0"/>
                <w:iCs w:val="0"/>
                <w:color w:val="000000"/>
                <w:sz w:val="18"/>
                <w:szCs w:val="18"/>
                <w:u w:val="none"/>
              </w:rPr>
            </w:pPr>
          </w:p>
        </w:tc>
        <w:tc>
          <w:tcPr>
            <w:tcW w:w="369" w:type="dxa"/>
            <w:tcBorders>
              <w:top w:val="nil"/>
              <w:left w:val="nil"/>
              <w:bottom w:val="nil"/>
              <w:right w:val="nil"/>
            </w:tcBorders>
            <w:shd w:val="clear" w:color="auto" w:fill="auto"/>
            <w:vAlign w:val="center"/>
          </w:tcPr>
          <w:p w14:paraId="5355FB5F">
            <w:pPr>
              <w:rPr>
                <w:rFonts w:hint="eastAsia" w:ascii="宋体" w:hAnsi="宋体" w:eastAsia="宋体" w:cs="宋体"/>
                <w:i w:val="0"/>
                <w:iCs w:val="0"/>
                <w:color w:val="000000"/>
                <w:sz w:val="18"/>
                <w:szCs w:val="18"/>
                <w:u w:val="none"/>
              </w:rPr>
            </w:pPr>
          </w:p>
        </w:tc>
        <w:tc>
          <w:tcPr>
            <w:tcW w:w="1188" w:type="dxa"/>
            <w:tcBorders>
              <w:top w:val="nil"/>
              <w:left w:val="nil"/>
              <w:bottom w:val="nil"/>
              <w:right w:val="nil"/>
            </w:tcBorders>
            <w:shd w:val="clear" w:color="auto" w:fill="auto"/>
            <w:vAlign w:val="center"/>
          </w:tcPr>
          <w:p w14:paraId="4EAE966A">
            <w:pPr>
              <w:rPr>
                <w:rFonts w:hint="eastAsia" w:ascii="宋体" w:hAnsi="宋体" w:eastAsia="宋体" w:cs="宋体"/>
                <w:i w:val="0"/>
                <w:iCs w:val="0"/>
                <w:color w:val="000000"/>
                <w:sz w:val="18"/>
                <w:szCs w:val="18"/>
                <w:u w:val="none"/>
              </w:rPr>
            </w:pPr>
          </w:p>
        </w:tc>
        <w:tc>
          <w:tcPr>
            <w:tcW w:w="372" w:type="dxa"/>
            <w:tcBorders>
              <w:top w:val="nil"/>
              <w:left w:val="nil"/>
              <w:bottom w:val="nil"/>
              <w:right w:val="nil"/>
            </w:tcBorders>
            <w:shd w:val="clear" w:color="auto" w:fill="auto"/>
            <w:vAlign w:val="center"/>
          </w:tcPr>
          <w:p w14:paraId="379D1117">
            <w:pPr>
              <w:rPr>
                <w:rFonts w:hint="eastAsia" w:ascii="宋体" w:hAnsi="宋体" w:eastAsia="宋体" w:cs="宋体"/>
                <w:i w:val="0"/>
                <w:iCs w:val="0"/>
                <w:color w:val="000000"/>
                <w:sz w:val="18"/>
                <w:szCs w:val="18"/>
                <w:u w:val="none"/>
              </w:rPr>
            </w:pPr>
          </w:p>
        </w:tc>
        <w:tc>
          <w:tcPr>
            <w:tcW w:w="774" w:type="dxa"/>
            <w:tcBorders>
              <w:top w:val="nil"/>
              <w:left w:val="nil"/>
              <w:bottom w:val="nil"/>
              <w:right w:val="nil"/>
            </w:tcBorders>
            <w:shd w:val="clear" w:color="auto" w:fill="auto"/>
            <w:vAlign w:val="center"/>
          </w:tcPr>
          <w:p w14:paraId="4D78097A">
            <w:pPr>
              <w:rPr>
                <w:rFonts w:hint="eastAsia" w:ascii="宋体" w:hAnsi="宋体" w:eastAsia="宋体" w:cs="宋体"/>
                <w:i w:val="0"/>
                <w:iCs w:val="0"/>
                <w:color w:val="000000"/>
                <w:sz w:val="18"/>
                <w:szCs w:val="18"/>
                <w:u w:val="none"/>
              </w:rPr>
            </w:pPr>
          </w:p>
        </w:tc>
        <w:tc>
          <w:tcPr>
            <w:tcW w:w="358" w:type="dxa"/>
            <w:tcBorders>
              <w:top w:val="nil"/>
              <w:left w:val="nil"/>
              <w:bottom w:val="nil"/>
              <w:right w:val="nil"/>
            </w:tcBorders>
            <w:shd w:val="clear" w:color="auto" w:fill="auto"/>
            <w:vAlign w:val="center"/>
          </w:tcPr>
          <w:p w14:paraId="5C5AA7E9">
            <w:pPr>
              <w:rPr>
                <w:rFonts w:hint="eastAsia" w:ascii="宋体" w:hAnsi="宋体" w:eastAsia="宋体" w:cs="宋体"/>
                <w:i w:val="0"/>
                <w:iCs w:val="0"/>
                <w:color w:val="000000"/>
                <w:sz w:val="18"/>
                <w:szCs w:val="18"/>
                <w:u w:val="none"/>
              </w:rPr>
            </w:pPr>
          </w:p>
        </w:tc>
        <w:tc>
          <w:tcPr>
            <w:tcW w:w="345" w:type="dxa"/>
            <w:tcBorders>
              <w:top w:val="nil"/>
              <w:left w:val="nil"/>
              <w:bottom w:val="nil"/>
              <w:right w:val="nil"/>
            </w:tcBorders>
            <w:shd w:val="clear" w:color="auto" w:fill="auto"/>
            <w:vAlign w:val="center"/>
          </w:tcPr>
          <w:p w14:paraId="045FBBD0">
            <w:pPr>
              <w:rPr>
                <w:rFonts w:hint="eastAsia" w:ascii="宋体" w:hAnsi="宋体" w:eastAsia="宋体" w:cs="宋体"/>
                <w:i w:val="0"/>
                <w:iCs w:val="0"/>
                <w:color w:val="000000"/>
                <w:sz w:val="18"/>
                <w:szCs w:val="18"/>
                <w:u w:val="none"/>
              </w:rPr>
            </w:pPr>
          </w:p>
        </w:tc>
        <w:tc>
          <w:tcPr>
            <w:tcW w:w="1814" w:type="dxa"/>
            <w:tcBorders>
              <w:top w:val="nil"/>
              <w:left w:val="nil"/>
              <w:bottom w:val="nil"/>
              <w:right w:val="nil"/>
            </w:tcBorders>
            <w:shd w:val="clear" w:color="auto" w:fill="auto"/>
            <w:vAlign w:val="center"/>
          </w:tcPr>
          <w:p w14:paraId="02F704CB">
            <w:pPr>
              <w:rPr>
                <w:rFonts w:hint="eastAsia" w:ascii="宋体" w:hAnsi="宋体" w:eastAsia="宋体" w:cs="宋体"/>
                <w:i w:val="0"/>
                <w:iCs w:val="0"/>
                <w:color w:val="000000"/>
                <w:sz w:val="18"/>
                <w:szCs w:val="18"/>
                <w:u w:val="none"/>
              </w:rPr>
            </w:pPr>
          </w:p>
        </w:tc>
      </w:tr>
      <w:tr w14:paraId="6DF9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1CA13A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w:t>
            </w:r>
            <w:r>
              <w:rPr>
                <w:rFonts w:hint="eastAsia" w:ascii="宋体" w:hAnsi="宋体" w:eastAsia="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该报表查询项目信息、绩效目标信息、预算及执行情况，用于预算单位查询导出开展项目自评。</w:t>
            </w:r>
          </w:p>
        </w:tc>
      </w:tr>
      <w:tr w14:paraId="7B17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37DBA9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63BD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578185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4DC34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 w:hRule="atLeast"/>
        </w:trPr>
        <w:tc>
          <w:tcPr>
            <w:tcW w:w="10020" w:type="dxa"/>
            <w:gridSpan w:val="11"/>
            <w:tcBorders>
              <w:top w:val="nil"/>
              <w:left w:val="nil"/>
              <w:bottom w:val="nil"/>
              <w:right w:val="nil"/>
            </w:tcBorders>
            <w:shd w:val="clear" w:color="auto" w:fill="auto"/>
            <w:vAlign w:val="center"/>
          </w:tcPr>
          <w:p w14:paraId="487476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1C393E3A">
      <w:pPr>
        <w:spacing w:line="600" w:lineRule="exact"/>
        <w:jc w:val="center"/>
        <w:outlineLvl w:val="0"/>
        <w:rPr>
          <w:rFonts w:hint="eastAsia" w:ascii="黑体" w:hAnsi="黑体" w:eastAsia="黑体"/>
          <w:color w:val="000000"/>
          <w:sz w:val="44"/>
          <w:szCs w:val="44"/>
        </w:rPr>
      </w:pPr>
    </w:p>
    <w:p w14:paraId="2D7982C2">
      <w:pPr>
        <w:spacing w:line="600" w:lineRule="exact"/>
        <w:jc w:val="center"/>
        <w:outlineLvl w:val="0"/>
        <w:rPr>
          <w:rFonts w:hint="eastAsia" w:ascii="黑体" w:hAnsi="黑体" w:eastAsia="黑体"/>
          <w:color w:val="000000"/>
          <w:sz w:val="44"/>
          <w:szCs w:val="44"/>
        </w:rPr>
      </w:pPr>
    </w:p>
    <w:p w14:paraId="3757A7EB">
      <w:pPr>
        <w:spacing w:line="600" w:lineRule="exact"/>
        <w:jc w:val="center"/>
        <w:outlineLvl w:val="0"/>
        <w:rPr>
          <w:rFonts w:hint="eastAsia" w:ascii="黑体" w:hAnsi="黑体" w:eastAsia="黑体"/>
          <w:color w:val="000000"/>
          <w:sz w:val="44"/>
          <w:szCs w:val="44"/>
        </w:rPr>
      </w:pPr>
    </w:p>
    <w:p w14:paraId="74B5B61A">
      <w:pPr>
        <w:spacing w:line="600" w:lineRule="exact"/>
        <w:jc w:val="center"/>
        <w:outlineLvl w:val="0"/>
        <w:rPr>
          <w:rFonts w:hint="eastAsia" w:ascii="黑体" w:hAnsi="黑体" w:eastAsia="黑体"/>
          <w:color w:val="000000"/>
          <w:sz w:val="44"/>
          <w:szCs w:val="44"/>
        </w:rPr>
      </w:pPr>
    </w:p>
    <w:p w14:paraId="44BA13DC">
      <w:pPr>
        <w:spacing w:line="600" w:lineRule="exact"/>
        <w:jc w:val="center"/>
        <w:outlineLvl w:val="0"/>
        <w:rPr>
          <w:rFonts w:hint="eastAsia" w:ascii="黑体" w:hAnsi="黑体" w:eastAsia="黑体"/>
          <w:color w:val="000000"/>
          <w:sz w:val="44"/>
          <w:szCs w:val="44"/>
        </w:rPr>
      </w:pPr>
    </w:p>
    <w:p w14:paraId="51531D26">
      <w:pPr>
        <w:spacing w:line="600" w:lineRule="exact"/>
        <w:jc w:val="center"/>
        <w:outlineLvl w:val="0"/>
        <w:rPr>
          <w:rFonts w:hint="eastAsia" w:ascii="黑体" w:hAnsi="黑体" w:eastAsia="黑体"/>
          <w:color w:val="000000"/>
          <w:sz w:val="44"/>
          <w:szCs w:val="44"/>
        </w:rPr>
      </w:pPr>
    </w:p>
    <w:p w14:paraId="3221CEFD">
      <w:pPr>
        <w:spacing w:line="600" w:lineRule="exact"/>
        <w:jc w:val="center"/>
        <w:outlineLvl w:val="0"/>
        <w:rPr>
          <w:rFonts w:hint="eastAsia" w:ascii="黑体" w:hAnsi="黑体" w:eastAsia="黑体"/>
          <w:color w:val="000000"/>
          <w:sz w:val="44"/>
          <w:szCs w:val="44"/>
        </w:rPr>
      </w:pPr>
    </w:p>
    <w:p w14:paraId="0BEA4327">
      <w:pPr>
        <w:spacing w:line="600" w:lineRule="exact"/>
        <w:jc w:val="center"/>
        <w:outlineLvl w:val="0"/>
        <w:rPr>
          <w:rFonts w:hint="eastAsia" w:ascii="黑体" w:hAnsi="黑体" w:eastAsia="黑体"/>
          <w:color w:val="000000"/>
          <w:sz w:val="44"/>
          <w:szCs w:val="44"/>
        </w:rPr>
      </w:pPr>
    </w:p>
    <w:p w14:paraId="06C7AABA">
      <w:pPr>
        <w:spacing w:line="600" w:lineRule="exact"/>
        <w:jc w:val="center"/>
        <w:outlineLvl w:val="0"/>
        <w:rPr>
          <w:rFonts w:hint="eastAsia" w:ascii="黑体" w:hAnsi="黑体" w:eastAsia="黑体"/>
          <w:color w:val="000000"/>
          <w:sz w:val="44"/>
          <w:szCs w:val="44"/>
        </w:rPr>
      </w:pPr>
    </w:p>
    <w:p w14:paraId="1B458A06">
      <w:pPr>
        <w:pStyle w:val="2"/>
        <w:rPr>
          <w:rFonts w:hint="eastAsia" w:ascii="黑体" w:hAnsi="黑体" w:eastAsia="黑体"/>
          <w:color w:val="000000"/>
          <w:sz w:val="44"/>
          <w:szCs w:val="44"/>
        </w:rPr>
      </w:pPr>
    </w:p>
    <w:p w14:paraId="602161CA">
      <w:pPr>
        <w:pStyle w:val="4"/>
        <w:rPr>
          <w:rFonts w:hint="eastAsia"/>
        </w:rPr>
      </w:pPr>
    </w:p>
    <w:p w14:paraId="28CC945F">
      <w:pPr>
        <w:pStyle w:val="4"/>
        <w:ind w:left="0" w:leftChars="0" w:firstLine="0" w:firstLineChars="0"/>
        <w:rPr>
          <w:rFonts w:hint="eastAsia"/>
        </w:rPr>
      </w:pPr>
    </w:p>
    <w:p w14:paraId="72F6B129">
      <w:pPr>
        <w:spacing w:line="600" w:lineRule="exact"/>
        <w:jc w:val="center"/>
        <w:outlineLvl w:val="0"/>
        <w:rPr>
          <w:rFonts w:ascii="仿宋" w:hAnsi="仿宋" w:eastAsia="仿宋"/>
          <w:b/>
          <w:color w:val="000000"/>
          <w:sz w:val="44"/>
          <w:szCs w:val="44"/>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4"/>
      <w:bookmarkEnd w:id="58"/>
      <w:bookmarkEnd w:id="59"/>
    </w:p>
    <w:p w14:paraId="4D93D8C9">
      <w:pPr>
        <w:pStyle w:val="6"/>
        <w:rPr>
          <w:rFonts w:ascii="仿宋" w:hAnsi="仿宋" w:eastAsia="仿宋"/>
          <w:color w:val="auto"/>
          <w:highlight w:val="none"/>
        </w:rPr>
      </w:pPr>
      <w:bookmarkStart w:id="60" w:name="_Toc5286"/>
      <w:r>
        <w:rPr>
          <w:rFonts w:hint="eastAsia" w:ascii="仿宋" w:hAnsi="仿宋" w:eastAsia="仿宋"/>
          <w:b w:val="0"/>
          <w:color w:val="auto"/>
          <w:highlight w:val="none"/>
        </w:rPr>
        <w:t>一、收</w:t>
      </w:r>
      <w:r>
        <w:rPr>
          <w:rStyle w:val="21"/>
          <w:rFonts w:hint="eastAsia" w:ascii="仿宋" w:hAnsi="仿宋" w:eastAsia="仿宋"/>
          <w:b w:val="0"/>
          <w:bCs w:val="0"/>
          <w:color w:val="auto"/>
          <w:highlight w:val="none"/>
        </w:rPr>
        <w:t>入支出决算总表</w:t>
      </w:r>
      <w:bookmarkEnd w:id="60"/>
    </w:p>
    <w:p w14:paraId="0E234475">
      <w:pPr>
        <w:pStyle w:val="6"/>
        <w:rPr>
          <w:rFonts w:ascii="仿宋" w:hAnsi="仿宋" w:eastAsia="仿宋"/>
          <w:color w:val="auto"/>
          <w:highlight w:val="none"/>
        </w:rPr>
      </w:pPr>
      <w:bookmarkStart w:id="61" w:name="_Toc15396620"/>
      <w:bookmarkStart w:id="62" w:name="_Toc8158"/>
      <w:r>
        <w:rPr>
          <w:rFonts w:hint="eastAsia" w:ascii="仿宋" w:hAnsi="仿宋" w:eastAsia="仿宋"/>
          <w:b w:val="0"/>
          <w:color w:val="auto"/>
          <w:highlight w:val="none"/>
        </w:rPr>
        <w:t>二、收</w:t>
      </w:r>
      <w:r>
        <w:rPr>
          <w:rStyle w:val="21"/>
          <w:rFonts w:hint="eastAsia" w:ascii="仿宋" w:hAnsi="仿宋" w:eastAsia="仿宋"/>
          <w:b w:val="0"/>
          <w:bCs w:val="0"/>
          <w:color w:val="auto"/>
          <w:highlight w:val="none"/>
        </w:rPr>
        <w:t>入决算表</w:t>
      </w:r>
      <w:bookmarkEnd w:id="61"/>
      <w:bookmarkEnd w:id="62"/>
    </w:p>
    <w:p w14:paraId="55D5CB75">
      <w:pPr>
        <w:pStyle w:val="6"/>
        <w:rPr>
          <w:rFonts w:ascii="仿宋" w:hAnsi="仿宋" w:eastAsia="仿宋"/>
          <w:color w:val="auto"/>
          <w:highlight w:val="none"/>
        </w:rPr>
      </w:pPr>
      <w:bookmarkStart w:id="63" w:name="_Toc15396621"/>
      <w:bookmarkStart w:id="64" w:name="_Toc26012"/>
      <w:r>
        <w:rPr>
          <w:rStyle w:val="2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1"/>
          <w:rFonts w:hint="eastAsia" w:ascii="仿宋" w:hAnsi="仿宋" w:eastAsia="仿宋"/>
          <w:b w:val="0"/>
          <w:bCs w:val="0"/>
          <w:color w:val="auto"/>
          <w:highlight w:val="none"/>
        </w:rPr>
        <w:t>出决算表</w:t>
      </w:r>
      <w:bookmarkEnd w:id="63"/>
      <w:bookmarkEnd w:id="64"/>
    </w:p>
    <w:p w14:paraId="75BE43A6">
      <w:pPr>
        <w:pStyle w:val="6"/>
        <w:rPr>
          <w:rFonts w:ascii="仿宋" w:hAnsi="仿宋" w:eastAsia="仿宋"/>
          <w:b w:val="0"/>
          <w:color w:val="auto"/>
          <w:highlight w:val="none"/>
        </w:rPr>
      </w:pPr>
      <w:bookmarkStart w:id="65" w:name="_Toc15396622"/>
      <w:bookmarkStart w:id="66" w:name="_Toc18909"/>
      <w:r>
        <w:rPr>
          <w:rStyle w:val="2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政拨款收入支出决算总表</w:t>
      </w:r>
      <w:bookmarkEnd w:id="65"/>
      <w:bookmarkEnd w:id="66"/>
    </w:p>
    <w:p w14:paraId="4EF771E0">
      <w:pPr>
        <w:pStyle w:val="6"/>
        <w:rPr>
          <w:rStyle w:val="21"/>
          <w:rFonts w:ascii="仿宋" w:hAnsi="仿宋" w:eastAsia="仿宋"/>
          <w:b w:val="0"/>
          <w:bCs w:val="0"/>
          <w:color w:val="auto"/>
          <w:highlight w:val="none"/>
        </w:rPr>
      </w:pPr>
      <w:bookmarkStart w:id="67" w:name="_Toc15396623"/>
      <w:bookmarkStart w:id="68" w:name="_Toc31130"/>
      <w:r>
        <w:rPr>
          <w:rStyle w:val="2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1"/>
          <w:rFonts w:hint="eastAsia" w:ascii="仿宋" w:hAnsi="仿宋" w:eastAsia="仿宋"/>
          <w:b w:val="0"/>
          <w:bCs w:val="0"/>
          <w:color w:val="auto"/>
          <w:highlight w:val="none"/>
        </w:rPr>
        <w:t>政拨款支出决算明细表</w:t>
      </w:r>
      <w:bookmarkEnd w:id="67"/>
      <w:bookmarkEnd w:id="68"/>
      <w:bookmarkStart w:id="69" w:name="_Toc15396624"/>
    </w:p>
    <w:p w14:paraId="711251B1">
      <w:pPr>
        <w:pStyle w:val="6"/>
        <w:rPr>
          <w:rFonts w:ascii="仿宋" w:hAnsi="仿宋" w:eastAsia="仿宋"/>
          <w:color w:val="auto"/>
          <w:highlight w:val="none"/>
        </w:rPr>
      </w:pPr>
      <w:bookmarkStart w:id="70" w:name="_Toc7698"/>
      <w:r>
        <w:rPr>
          <w:rStyle w:val="2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般公共预算财政拨款支出决算表</w:t>
      </w:r>
      <w:bookmarkEnd w:id="69"/>
      <w:bookmarkEnd w:id="70"/>
    </w:p>
    <w:p w14:paraId="7D3B4CF3">
      <w:pPr>
        <w:pStyle w:val="6"/>
        <w:rPr>
          <w:rFonts w:ascii="仿宋" w:hAnsi="仿宋" w:eastAsia="仿宋"/>
          <w:color w:val="auto"/>
          <w:highlight w:val="none"/>
        </w:rPr>
      </w:pPr>
      <w:bookmarkStart w:id="71" w:name="_Toc15396625"/>
      <w:bookmarkStart w:id="72" w:name="_Toc31249"/>
      <w:r>
        <w:rPr>
          <w:rStyle w:val="2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般公共预算财政拨款支出决算明细表</w:t>
      </w:r>
      <w:bookmarkEnd w:id="71"/>
      <w:bookmarkEnd w:id="72"/>
    </w:p>
    <w:p w14:paraId="08EC0E6D">
      <w:pPr>
        <w:pStyle w:val="6"/>
        <w:rPr>
          <w:rFonts w:ascii="仿宋" w:hAnsi="仿宋" w:eastAsia="仿宋"/>
          <w:color w:val="auto"/>
          <w:highlight w:val="none"/>
        </w:rPr>
      </w:pPr>
      <w:bookmarkStart w:id="73" w:name="_Toc7317"/>
      <w:bookmarkStart w:id="74" w:name="_Toc15396626"/>
      <w:r>
        <w:rPr>
          <w:rStyle w:val="2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般公共预算财政拨款基本支出决算表</w:t>
      </w:r>
      <w:bookmarkEnd w:id="73"/>
      <w:bookmarkEnd w:id="74"/>
    </w:p>
    <w:p w14:paraId="11058382">
      <w:pPr>
        <w:pStyle w:val="6"/>
        <w:rPr>
          <w:rFonts w:ascii="仿宋" w:hAnsi="仿宋" w:eastAsia="仿宋"/>
          <w:color w:val="auto"/>
          <w:highlight w:val="none"/>
        </w:rPr>
      </w:pPr>
      <w:bookmarkStart w:id="75" w:name="_Toc6515"/>
      <w:bookmarkStart w:id="76" w:name="_Toc15396627"/>
      <w:r>
        <w:rPr>
          <w:rStyle w:val="2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1"/>
          <w:rFonts w:hint="eastAsia" w:ascii="仿宋" w:hAnsi="仿宋" w:eastAsia="仿宋"/>
          <w:b w:val="0"/>
          <w:bCs w:val="0"/>
          <w:color w:val="auto"/>
          <w:highlight w:val="none"/>
        </w:rPr>
        <w:t>般公共预算财政拨款项目支出决算表</w:t>
      </w:r>
      <w:bookmarkEnd w:id="75"/>
      <w:bookmarkEnd w:id="76"/>
    </w:p>
    <w:p w14:paraId="0B74A5C7">
      <w:pPr>
        <w:pStyle w:val="6"/>
        <w:rPr>
          <w:rFonts w:ascii="仿宋" w:hAnsi="仿宋" w:eastAsia="仿宋"/>
          <w:color w:val="auto"/>
          <w:highlight w:val="none"/>
        </w:rPr>
      </w:pPr>
      <w:bookmarkStart w:id="77" w:name="_Toc15396628"/>
      <w:bookmarkStart w:id="78" w:name="_Toc7620"/>
      <w:r>
        <w:rPr>
          <w:rStyle w:val="21"/>
          <w:rFonts w:hint="eastAsia" w:ascii="仿宋" w:hAnsi="仿宋" w:eastAsia="仿宋"/>
          <w:b w:val="0"/>
          <w:bCs w:val="0"/>
          <w:color w:val="auto"/>
          <w:highlight w:val="none"/>
        </w:rPr>
        <w:t>十、</w:t>
      </w:r>
      <w:bookmarkEnd w:id="77"/>
      <w:r>
        <w:rPr>
          <w:rFonts w:hint="eastAsia" w:ascii="仿宋" w:hAnsi="仿宋" w:eastAsia="仿宋"/>
          <w:b w:val="0"/>
          <w:color w:val="auto"/>
          <w:highlight w:val="none"/>
        </w:rPr>
        <w:t>政</w:t>
      </w:r>
      <w:r>
        <w:rPr>
          <w:rStyle w:val="21"/>
          <w:rFonts w:hint="eastAsia" w:ascii="仿宋" w:hAnsi="仿宋" w:eastAsia="仿宋"/>
          <w:b w:val="0"/>
          <w:bCs w:val="0"/>
          <w:color w:val="auto"/>
          <w:highlight w:val="none"/>
        </w:rPr>
        <w:t>府性基金预算财政拨款收入支出决算表</w:t>
      </w:r>
      <w:bookmarkEnd w:id="78"/>
    </w:p>
    <w:p w14:paraId="664AFC48">
      <w:pPr>
        <w:pStyle w:val="6"/>
        <w:rPr>
          <w:rFonts w:ascii="仿宋" w:hAnsi="仿宋" w:eastAsia="仿宋"/>
          <w:color w:val="auto"/>
          <w:highlight w:val="none"/>
        </w:rPr>
      </w:pPr>
      <w:bookmarkStart w:id="79" w:name="_Toc15396629"/>
      <w:bookmarkStart w:id="80" w:name="_Toc26497"/>
      <w:r>
        <w:rPr>
          <w:rStyle w:val="21"/>
          <w:rFonts w:hint="eastAsia" w:ascii="仿宋" w:hAnsi="仿宋" w:eastAsia="仿宋"/>
          <w:b w:val="0"/>
          <w:bCs w:val="0"/>
          <w:color w:val="auto"/>
          <w:highlight w:val="none"/>
        </w:rPr>
        <w:t>十一、</w:t>
      </w:r>
      <w:bookmarkEnd w:id="79"/>
      <w:r>
        <w:rPr>
          <w:rFonts w:hint="eastAsia" w:ascii="仿宋" w:hAnsi="仿宋" w:eastAsia="仿宋"/>
          <w:b w:val="0"/>
          <w:color w:val="auto"/>
          <w:highlight w:val="none"/>
        </w:rPr>
        <w:t>国</w:t>
      </w:r>
      <w:r>
        <w:rPr>
          <w:rStyle w:val="21"/>
          <w:rFonts w:hint="eastAsia" w:ascii="仿宋" w:hAnsi="仿宋" w:eastAsia="仿宋"/>
          <w:b w:val="0"/>
          <w:bCs w:val="0"/>
          <w:color w:val="auto"/>
          <w:highlight w:val="none"/>
        </w:rPr>
        <w:t>有资本经营预算</w:t>
      </w:r>
      <w:r>
        <w:rPr>
          <w:rStyle w:val="21"/>
          <w:rFonts w:hint="eastAsia" w:ascii="仿宋" w:hAnsi="仿宋" w:eastAsia="仿宋"/>
          <w:b w:val="0"/>
          <w:bCs w:val="0"/>
          <w:color w:val="auto"/>
          <w:highlight w:val="none"/>
          <w:lang w:eastAsia="zh-CN"/>
        </w:rPr>
        <w:t>财政拨款收入</w:t>
      </w:r>
      <w:r>
        <w:rPr>
          <w:rStyle w:val="21"/>
          <w:rFonts w:hint="eastAsia" w:ascii="仿宋" w:hAnsi="仿宋" w:eastAsia="仿宋"/>
          <w:b w:val="0"/>
          <w:bCs w:val="0"/>
          <w:color w:val="auto"/>
          <w:highlight w:val="none"/>
        </w:rPr>
        <w:t>支出决算表</w:t>
      </w:r>
      <w:bookmarkEnd w:id="80"/>
    </w:p>
    <w:p w14:paraId="48A8F052">
      <w:pPr>
        <w:pStyle w:val="6"/>
        <w:rPr>
          <w:rFonts w:ascii="仿宋" w:hAnsi="仿宋" w:eastAsia="仿宋"/>
          <w:color w:val="auto"/>
          <w:highlight w:val="none"/>
        </w:rPr>
      </w:pPr>
      <w:bookmarkStart w:id="81" w:name="_Toc15396630"/>
      <w:bookmarkStart w:id="82" w:name="_Toc28654"/>
      <w:r>
        <w:rPr>
          <w:rStyle w:val="21"/>
          <w:rFonts w:hint="eastAsia" w:ascii="仿宋" w:hAnsi="仿宋" w:eastAsia="仿宋"/>
          <w:b w:val="0"/>
          <w:bCs w:val="0"/>
          <w:color w:val="auto"/>
          <w:highlight w:val="none"/>
        </w:rPr>
        <w:t>十二、</w:t>
      </w:r>
      <w:bookmarkEnd w:id="81"/>
      <w:r>
        <w:rPr>
          <w:rStyle w:val="21"/>
          <w:rFonts w:hint="eastAsia" w:ascii="仿宋" w:hAnsi="仿宋" w:eastAsia="仿宋"/>
          <w:b w:val="0"/>
          <w:bCs w:val="0"/>
          <w:color w:val="auto"/>
          <w:highlight w:val="none"/>
          <w:lang w:eastAsia="zh-CN"/>
        </w:rPr>
        <w:t>国有资本经营预算财政拨款支出决算表</w:t>
      </w:r>
      <w:bookmarkEnd w:id="82"/>
    </w:p>
    <w:p w14:paraId="725C1481">
      <w:pPr>
        <w:pStyle w:val="6"/>
        <w:rPr>
          <w:rFonts w:hint="eastAsia" w:ascii="仿宋_GB2312" w:hAnsi="仿宋_GB2312" w:eastAsia="仿宋_GB2312" w:cs="仿宋_GB2312"/>
          <w:b w:val="0"/>
          <w:color w:val="000000"/>
        </w:rPr>
      </w:pPr>
      <w:bookmarkStart w:id="83" w:name="_Toc15396631"/>
      <w:bookmarkStart w:id="84" w:name="_Toc10409"/>
      <w:r>
        <w:rPr>
          <w:rStyle w:val="21"/>
          <w:rFonts w:hint="eastAsia" w:ascii="仿宋" w:hAnsi="仿宋" w:eastAsia="仿宋"/>
          <w:b w:val="0"/>
          <w:bCs w:val="0"/>
          <w:color w:val="auto"/>
          <w:highlight w:val="none"/>
        </w:rPr>
        <w:t>十三、</w:t>
      </w:r>
      <w:bookmarkEnd w:id="83"/>
      <w:r>
        <w:rPr>
          <w:rStyle w:val="21"/>
          <w:rFonts w:hint="eastAsia" w:ascii="仿宋" w:hAnsi="仿宋" w:eastAsia="仿宋"/>
          <w:b w:val="0"/>
          <w:bCs w:val="0"/>
          <w:color w:val="auto"/>
          <w:highlight w:val="none"/>
          <w:lang w:eastAsia="zh-CN"/>
        </w:rPr>
        <w:t>财政拨款“三公”经费支出决算表</w:t>
      </w:r>
      <w:bookmarkEnd w:id="84"/>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04EA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ED99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0ED99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FD89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C6EC0">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2C6EC0">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NzU1ZmM1YjgwZGFkYWU5YjE4ZWQ5NjUzNzA4MmYifQ=="/>
  </w:docVars>
  <w:rsids>
    <w:rsidRoot w:val="6504078C"/>
    <w:rsid w:val="01C27C15"/>
    <w:rsid w:val="04952CDD"/>
    <w:rsid w:val="05A14A1B"/>
    <w:rsid w:val="06D96529"/>
    <w:rsid w:val="07934F7B"/>
    <w:rsid w:val="084D1FE2"/>
    <w:rsid w:val="098E5B9C"/>
    <w:rsid w:val="0FB24A4A"/>
    <w:rsid w:val="157D2DA8"/>
    <w:rsid w:val="16306774"/>
    <w:rsid w:val="19C00F4E"/>
    <w:rsid w:val="1CA37410"/>
    <w:rsid w:val="1DF96E94"/>
    <w:rsid w:val="1EF7441C"/>
    <w:rsid w:val="1F264B83"/>
    <w:rsid w:val="2B315379"/>
    <w:rsid w:val="2F0B748A"/>
    <w:rsid w:val="3151350D"/>
    <w:rsid w:val="32E12B57"/>
    <w:rsid w:val="34EB02E9"/>
    <w:rsid w:val="34EF6A61"/>
    <w:rsid w:val="37B729B8"/>
    <w:rsid w:val="3836588A"/>
    <w:rsid w:val="3B9A165B"/>
    <w:rsid w:val="3C941FF2"/>
    <w:rsid w:val="3E4169FF"/>
    <w:rsid w:val="40EA548F"/>
    <w:rsid w:val="43FEC932"/>
    <w:rsid w:val="46D1396C"/>
    <w:rsid w:val="47A57544"/>
    <w:rsid w:val="496E6505"/>
    <w:rsid w:val="49B650EB"/>
    <w:rsid w:val="4CEB3E41"/>
    <w:rsid w:val="4E8122EB"/>
    <w:rsid w:val="551769A9"/>
    <w:rsid w:val="59352BE5"/>
    <w:rsid w:val="5CD37946"/>
    <w:rsid w:val="5D3E75DF"/>
    <w:rsid w:val="6504078C"/>
    <w:rsid w:val="65FFAF84"/>
    <w:rsid w:val="67D63BB0"/>
    <w:rsid w:val="6A8B3277"/>
    <w:rsid w:val="6E51728C"/>
    <w:rsid w:val="726E3979"/>
    <w:rsid w:val="791F4BCB"/>
    <w:rsid w:val="7D153D75"/>
    <w:rsid w:val="7E535DCD"/>
    <w:rsid w:val="7EBFE696"/>
    <w:rsid w:val="7EC91BC5"/>
    <w:rsid w:val="9B9F991E"/>
    <w:rsid w:val="B3FD0AB2"/>
    <w:rsid w:val="F7B86D15"/>
    <w:rsid w:val="FCB4E2BB"/>
    <w:rsid w:val="FFF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1"/>
    <w:unhideWhenUsed/>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line="240" w:lineRule="auto"/>
      <w:ind w:left="420" w:leftChars="200" w:firstLine="420"/>
    </w:pPr>
  </w:style>
  <w:style w:type="paragraph" w:styleId="3">
    <w:name w:val="Body Text Indent"/>
    <w:basedOn w:val="1"/>
    <w:qFormat/>
    <w:uiPriority w:val="0"/>
    <w:pPr>
      <w:spacing w:line="560" w:lineRule="exact"/>
      <w:ind w:firstLine="640" w:firstLineChars="200"/>
    </w:pPr>
  </w:style>
  <w:style w:type="paragraph" w:styleId="4">
    <w:name w:val="index 5"/>
    <w:basedOn w:val="1"/>
    <w:next w:val="1"/>
    <w:qFormat/>
    <w:uiPriority w:val="0"/>
    <w:pPr>
      <w:ind w:left="1680"/>
    </w:pPr>
  </w:style>
  <w:style w:type="paragraph" w:styleId="7">
    <w:name w:val="Body Text"/>
    <w:basedOn w:val="1"/>
    <w:next w:val="1"/>
    <w:qFormat/>
    <w:uiPriority w:val="99"/>
    <w:pPr>
      <w:spacing w:beforeLines="30"/>
    </w:pPr>
    <w:rPr>
      <w:rFonts w:ascii="仿宋_GB2312" w:eastAsia="仿宋_GB2312"/>
      <w:kern w:val="0"/>
      <w:sz w:val="24"/>
      <w:szCs w:val="20"/>
    </w:r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Body Text 2"/>
    <w:basedOn w:val="1"/>
    <w:qFormat/>
    <w:uiPriority w:val="0"/>
    <w:rPr>
      <w:rFonts w:eastAsia="宋体"/>
      <w:b/>
      <w:sz w:val="44"/>
    </w:rPr>
  </w:style>
  <w:style w:type="character" w:styleId="15">
    <w:name w:val="Strong"/>
    <w:basedOn w:val="14"/>
    <w:qFormat/>
    <w:uiPriority w:val="99"/>
    <w:rPr>
      <w:rFonts w:cs="Times New Roman"/>
      <w:b/>
    </w:rPr>
  </w:style>
  <w:style w:type="character" w:styleId="16">
    <w:name w:val="Hyperlink"/>
    <w:unhideWhenUsed/>
    <w:qFormat/>
    <w:uiPriority w:val="99"/>
    <w:rPr>
      <w:color w:val="0000FF"/>
      <w:u w:val="single"/>
    </w:rPr>
  </w:style>
  <w:style w:type="character" w:customStyle="1" w:styleId="17">
    <w:name w:val=" Char Char6"/>
    <w:basedOn w:val="14"/>
    <w:link w:val="5"/>
    <w:qFormat/>
    <w:locked/>
    <w:uiPriority w:val="9"/>
    <w:rPr>
      <w:b/>
      <w:bCs/>
      <w:kern w:val="44"/>
      <w:sz w:val="44"/>
      <w:szCs w:val="44"/>
    </w:rPr>
  </w:style>
  <w:style w:type="character" w:customStyle="1" w:styleId="18">
    <w:name w:val=" Char Char5"/>
    <w:basedOn w:val="14"/>
    <w:link w:val="6"/>
    <w:qFormat/>
    <w:locked/>
    <w:uiPriority w:val="9"/>
    <w:rPr>
      <w:rFonts w:ascii="Cambria" w:hAnsi="Cambria"/>
      <w:b/>
      <w:bCs/>
      <w:sz w:val="32"/>
      <w:szCs w:val="32"/>
    </w:rPr>
  </w:style>
  <w:style w:type="paragraph" w:customStyle="1" w:styleId="19">
    <w:name w:val="List Paragraph"/>
    <w:basedOn w:val="1"/>
    <w:qFormat/>
    <w:uiPriority w:val="34"/>
    <w:pPr>
      <w:ind w:firstLine="420" w:firstLineChars="200"/>
    </w:p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1">
    <w:name w:val="标题 2 Char"/>
    <w:basedOn w:val="14"/>
    <w:link w:val="6"/>
    <w:qFormat/>
    <w:uiPriority w:val="9"/>
    <w:rPr>
      <w:rFonts w:asciiTheme="majorHAnsi" w:hAnsiTheme="majorHAnsi" w:eastAsiaTheme="majorEastAsia" w:cstheme="majorBidi"/>
      <w:b/>
      <w:bCs/>
      <w:kern w:val="2"/>
      <w:sz w:val="32"/>
      <w:szCs w:val="32"/>
    </w:rPr>
  </w:style>
  <w:style w:type="paragraph" w:customStyle="1" w:styleId="22">
    <w:name w:val="四号正文"/>
    <w:basedOn w:val="1"/>
    <w:qFormat/>
    <w:uiPriority w:val="0"/>
    <w:pPr>
      <w:widowControl/>
      <w:spacing w:line="360" w:lineRule="auto"/>
      <w:jc w:val="left"/>
    </w:pPr>
    <w:rPr>
      <w:rFonts w:ascii="??" w:hAnsi="??" w:eastAsia="宋体"/>
      <w:color w:val="000000"/>
      <w:kern w:val="0"/>
      <w:sz w:val="28"/>
      <w:szCs w:val="21"/>
    </w:rPr>
  </w:style>
  <w:style w:type="character" w:customStyle="1" w:styleId="23">
    <w:name w:val="font91"/>
    <w:basedOn w:val="14"/>
    <w:qFormat/>
    <w:uiPriority w:val="0"/>
    <w:rPr>
      <w:rFonts w:hint="eastAsia" w:ascii="宋体" w:hAnsi="宋体" w:eastAsia="宋体" w:cs="宋体"/>
      <w:color w:val="000000"/>
      <w:sz w:val="24"/>
      <w:szCs w:val="24"/>
      <w:u w:val="none"/>
    </w:rPr>
  </w:style>
  <w:style w:type="character" w:customStyle="1" w:styleId="24">
    <w:name w:val="font12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411642562119"/>
          <c:y val="0.148092372276715"/>
          <c:w val="0.86620811287478"/>
          <c:h val="0.619199021705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2022年</c:v>
                </c:pt>
                <c:pt idx="1">
                  <c:v>2023年</c:v>
                </c:pt>
              </c:strCache>
            </c:strRef>
          </c:cat>
          <c:val>
            <c:numRef>
              <c:f>'[新建 XLSX 工作表.xlsx]Sheet1'!$C$9:$C$10</c:f>
              <c:numCache>
                <c:formatCode>General</c:formatCode>
                <c:ptCount val="2"/>
                <c:pt idx="0">
                  <c:v>134.24</c:v>
                </c:pt>
                <c:pt idx="1">
                  <c:v>190.26</c:v>
                </c:pt>
              </c:numCache>
            </c:numRef>
          </c:val>
        </c:ser>
        <c:dLbls>
          <c:showLegendKey val="0"/>
          <c:showVal val="1"/>
          <c:showCatName val="0"/>
          <c:showSerName val="0"/>
          <c:showPercent val="0"/>
          <c:showBubbleSize val="0"/>
        </c:dLbls>
        <c:gapWidth val="150"/>
        <c:overlap val="0"/>
        <c:axId val="466566455"/>
        <c:axId val="649619266"/>
      </c:barChart>
      <c:catAx>
        <c:axId val="4665664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619266"/>
        <c:crosses val="autoZero"/>
        <c:auto val="1"/>
        <c:lblAlgn val="ctr"/>
        <c:lblOffset val="100"/>
        <c:noMultiLvlLbl val="0"/>
      </c:catAx>
      <c:valAx>
        <c:axId val="6496192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566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一般公共预算财政拨款收入</c:v>
                </c:pt>
                <c:pt idx="1">
                  <c:v>政府性基金预算财政拨款收入</c:v>
                </c:pt>
              </c:strCache>
            </c:strRef>
          </c:cat>
          <c:val>
            <c:numRef>
              <c:f>'[新建 XLSX 工作表.xlsx]Sheet1'!$C$9:$C$10</c:f>
              <c:numCache>
                <c:formatCode>0.00%</c:formatCode>
                <c:ptCount val="2"/>
                <c:pt idx="0">
                  <c:v>0.8949</c:v>
                </c:pt>
                <c:pt idx="1">
                  <c:v>0.1051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基本支出</c:v>
                </c:pt>
                <c:pt idx="1">
                  <c:v>项目支出</c:v>
                </c:pt>
              </c:strCache>
            </c:strRef>
          </c:cat>
          <c:val>
            <c:numRef>
              <c:f>'[新建 XLSX 工作表.xlsx]Sheet1'!$C$9:$C$10</c:f>
              <c:numCache>
                <c:formatCode>0.00%</c:formatCode>
                <c:ptCount val="2"/>
                <c:pt idx="0">
                  <c:v>0.7945</c:v>
                </c:pt>
                <c:pt idx="1">
                  <c:v>0.2055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411642562119"/>
          <c:y val="0.148092372276715"/>
          <c:w val="0.86620811287478"/>
          <c:h val="0.619199021705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2022年</c:v>
                </c:pt>
                <c:pt idx="1">
                  <c:v>2023年</c:v>
                </c:pt>
              </c:strCache>
            </c:strRef>
          </c:cat>
          <c:val>
            <c:numRef>
              <c:f>'[新建 XLSX 工作表.xlsx]Sheet1'!$C$9:$C$10</c:f>
              <c:numCache>
                <c:formatCode>General</c:formatCode>
                <c:ptCount val="2"/>
                <c:pt idx="0">
                  <c:v>134.24</c:v>
                </c:pt>
                <c:pt idx="1">
                  <c:v>190.26</c:v>
                </c:pt>
              </c:numCache>
            </c:numRef>
          </c:val>
        </c:ser>
        <c:dLbls>
          <c:showLegendKey val="0"/>
          <c:showVal val="1"/>
          <c:showCatName val="0"/>
          <c:showSerName val="0"/>
          <c:showPercent val="0"/>
          <c:showBubbleSize val="0"/>
        </c:dLbls>
        <c:gapWidth val="150"/>
        <c:overlap val="0"/>
        <c:axId val="466566455"/>
        <c:axId val="649619266"/>
      </c:barChart>
      <c:catAx>
        <c:axId val="4665664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619266"/>
        <c:crosses val="autoZero"/>
        <c:auto val="1"/>
        <c:lblAlgn val="ctr"/>
        <c:lblOffset val="100"/>
        <c:noMultiLvlLbl val="0"/>
      </c:catAx>
      <c:valAx>
        <c:axId val="64961926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65664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45"/>
          <c:y val="0.0625"/>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工作表.xlsx]Sheet1'!$B$9:$B$10</c:f>
              <c:strCache>
                <c:ptCount val="2"/>
                <c:pt idx="0">
                  <c:v>2022年</c:v>
                </c:pt>
                <c:pt idx="1">
                  <c:v>2023年</c:v>
                </c:pt>
              </c:strCache>
            </c:strRef>
          </c:cat>
          <c:val>
            <c:numRef>
              <c:f>'[新建 XLSX 工作表.xlsx]Sheet1'!$C$9:$C$10</c:f>
              <c:numCache>
                <c:formatCode>General</c:formatCode>
                <c:ptCount val="2"/>
                <c:pt idx="0">
                  <c:v>124.24</c:v>
                </c:pt>
                <c:pt idx="1">
                  <c:v>170.26</c:v>
                </c:pt>
              </c:numCache>
            </c:numRef>
          </c:val>
        </c:ser>
        <c:dLbls>
          <c:showLegendKey val="0"/>
          <c:showVal val="1"/>
          <c:showCatName val="0"/>
          <c:showSerName val="0"/>
          <c:showPercent val="0"/>
          <c:showBubbleSize val="0"/>
        </c:dLbls>
        <c:gapWidth val="150"/>
        <c:overlap val="100"/>
        <c:axId val="692867177"/>
        <c:axId val="620539251"/>
      </c:barChart>
      <c:catAx>
        <c:axId val="69286717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539251"/>
        <c:crosses val="autoZero"/>
        <c:auto val="1"/>
        <c:lblAlgn val="ctr"/>
        <c:lblOffset val="100"/>
        <c:noMultiLvlLbl val="0"/>
      </c:catAx>
      <c:valAx>
        <c:axId val="6205392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28671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工作表.xlsx]Sheet1'!$B$9:$B$11</c:f>
              <c:strCache>
                <c:ptCount val="3"/>
                <c:pt idx="0">
                  <c:v>社会保障和就业支出</c:v>
                </c:pt>
                <c:pt idx="1">
                  <c:v>卫生健康支出</c:v>
                </c:pt>
                <c:pt idx="2">
                  <c:v>住房保障支出</c:v>
                </c:pt>
              </c:strCache>
            </c:strRef>
          </c:cat>
          <c:val>
            <c:numRef>
              <c:f>'[新建 XLSX 工作表.xlsx]Sheet1'!$C$9:$C$11</c:f>
              <c:numCache>
                <c:formatCode>0.00%</c:formatCode>
                <c:ptCount val="3"/>
                <c:pt idx="0">
                  <c:v>0.8809</c:v>
                </c:pt>
                <c:pt idx="1">
                  <c:v>0.0523</c:v>
                </c:pt>
                <c:pt idx="2">
                  <c:v>0.0668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工作表.xlsx]Sheet1'!$B$9:$B$11</c:f>
              <c:strCache>
                <c:ptCount val="3"/>
                <c:pt idx="0">
                  <c:v>因公出国（境）费</c:v>
                </c:pt>
                <c:pt idx="1">
                  <c:v>公务用车运行维护费</c:v>
                </c:pt>
                <c:pt idx="2">
                  <c:v>公务接待费</c:v>
                </c:pt>
              </c:strCache>
            </c:strRef>
          </c:cat>
          <c:val>
            <c:numRef>
              <c:f>'[新建 XLSX 工作表.xlsx]Sheet1'!$C$9:$C$11</c:f>
              <c:numCache>
                <c:formatCode>0.00%</c:formatCode>
                <c:ptCount val="3"/>
                <c:pt idx="0">
                  <c:v>0</c:v>
                </c:pt>
                <c:pt idx="1">
                  <c:v>0.573</c:v>
                </c:pt>
                <c:pt idx="2">
                  <c:v>0.427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16045</Words>
  <Characters>17411</Characters>
  <Lines>0</Lines>
  <Paragraphs>0</Paragraphs>
  <TotalTime>18</TotalTime>
  <ScaleCrop>false</ScaleCrop>
  <LinksUpToDate>false</LinksUpToDate>
  <CharactersWithSpaces>18012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2021-09-10T11:29:00Z</dcterms:created>
  <dc:creator>Administrator</dc:creator>
  <cp:lastModifiedBy>WPS_1682216591</cp:lastModifiedBy>
  <cp:lastPrinted>2024-09-23T07:36:41Z</cp:lastPrinted>
  <dcterms:modified xsi:type="dcterms:W3CDTF">2024-09-23T07:50:15Z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BBEFDCA54496457CA917938D336F8B26_13</vt:lpwstr>
  </property>
</Properties>
</file>